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258686" w14:textId="36B9BD2E" w:rsidR="0042085F" w:rsidRPr="00535EC2" w:rsidRDefault="00C17220" w:rsidP="0042085F">
      <w:pPr>
        <w:pStyle w:val="CRCoverPage"/>
        <w:tabs>
          <w:tab w:val="right" w:pos="9639"/>
        </w:tabs>
        <w:spacing w:after="0"/>
        <w:rPr>
          <w:b/>
          <w:i/>
          <w:noProof/>
          <w:sz w:val="28"/>
        </w:rPr>
      </w:pPr>
      <w:r w:rsidRPr="000265A1">
        <w:rPr>
          <w:b/>
          <w:noProof/>
          <w:sz w:val="24"/>
        </w:rPr>
        <w:t>3GPP TSG-RAN WG3 #9</w:t>
      </w:r>
      <w:r>
        <w:rPr>
          <w:rFonts w:hint="eastAsia"/>
          <w:b/>
          <w:noProof/>
          <w:sz w:val="24"/>
          <w:lang w:eastAsia="ja-JP"/>
        </w:rPr>
        <w:t>8</w:t>
      </w:r>
      <w:r w:rsidR="0042085F">
        <w:rPr>
          <w:b/>
          <w:i/>
          <w:noProof/>
          <w:sz w:val="28"/>
        </w:rPr>
        <w:tab/>
      </w:r>
      <w:r w:rsidR="0042085F" w:rsidRPr="007515CB">
        <w:rPr>
          <w:rFonts w:hint="eastAsia"/>
          <w:b/>
          <w:i/>
          <w:noProof/>
          <w:sz w:val="28"/>
          <w:lang w:eastAsia="ja-JP"/>
        </w:rPr>
        <w:t>R3-17</w:t>
      </w:r>
      <w:ins w:id="0" w:author="作成者">
        <w:r w:rsidR="00394F16">
          <w:rPr>
            <w:rFonts w:hint="eastAsia"/>
            <w:b/>
            <w:i/>
            <w:noProof/>
            <w:sz w:val="28"/>
            <w:lang w:eastAsia="ja-JP"/>
          </w:rPr>
          <w:t>4903</w:t>
        </w:r>
      </w:ins>
      <w:bookmarkStart w:id="1" w:name="_GoBack"/>
      <w:bookmarkEnd w:id="1"/>
      <w:del w:id="2" w:author="作成者">
        <w:r w:rsidR="00BE40DC" w:rsidDel="000B4161">
          <w:rPr>
            <w:rFonts w:hint="eastAsia"/>
            <w:b/>
            <w:i/>
            <w:noProof/>
            <w:sz w:val="28"/>
            <w:lang w:eastAsia="ja-JP"/>
          </w:rPr>
          <w:delText>4848</w:delText>
        </w:r>
      </w:del>
    </w:p>
    <w:p w14:paraId="58FA4E0D" w14:textId="77777777" w:rsidR="00C17220" w:rsidRDefault="00C17220" w:rsidP="00C17220">
      <w:pPr>
        <w:pStyle w:val="CRCoverPage"/>
        <w:outlineLvl w:val="0"/>
        <w:rPr>
          <w:b/>
          <w:noProof/>
          <w:sz w:val="24"/>
        </w:rPr>
      </w:pPr>
      <w:r w:rsidRPr="00AF40C0">
        <w:rPr>
          <w:b/>
          <w:noProof/>
          <w:sz w:val="24"/>
        </w:rPr>
        <w:t>Reno, NV, USA, 27 November-1 December 2017</w:t>
      </w:r>
    </w:p>
    <w:p w14:paraId="39BE00F6" w14:textId="77777777" w:rsidR="00CD4C7B" w:rsidRPr="00C17220" w:rsidRDefault="00CD4C7B" w:rsidP="00CD4C7B">
      <w:pPr>
        <w:pStyle w:val="a3"/>
        <w:rPr>
          <w:bCs/>
          <w:noProof w:val="0"/>
          <w:sz w:val="24"/>
        </w:rPr>
      </w:pPr>
    </w:p>
    <w:p w14:paraId="49379CFB" w14:textId="77777777" w:rsidR="00CD4C7B" w:rsidRPr="00B266B0" w:rsidRDefault="00CD4C7B" w:rsidP="00CD4C7B">
      <w:pPr>
        <w:pStyle w:val="a3"/>
        <w:rPr>
          <w:bCs/>
          <w:noProof w:val="0"/>
          <w:sz w:val="24"/>
        </w:rPr>
      </w:pPr>
    </w:p>
    <w:p w14:paraId="758E2B30" w14:textId="43146FCE"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F7673" w:rsidRPr="001873F3">
        <w:rPr>
          <w:rFonts w:cs="Arial"/>
          <w:b/>
          <w:bCs/>
          <w:sz w:val="24"/>
          <w:lang w:eastAsia="ja-JP"/>
        </w:rPr>
        <w:t>10</w:t>
      </w:r>
      <w:r w:rsidR="002747EC" w:rsidRPr="001873F3">
        <w:rPr>
          <w:rFonts w:cs="Arial"/>
          <w:b/>
          <w:bCs/>
          <w:sz w:val="24"/>
          <w:lang w:eastAsia="ja-JP"/>
        </w:rPr>
        <w:t>.</w:t>
      </w:r>
      <w:r w:rsidR="001873F3" w:rsidRPr="001873F3">
        <w:rPr>
          <w:rFonts w:cs="Arial" w:hint="eastAsia"/>
          <w:b/>
          <w:bCs/>
          <w:sz w:val="24"/>
          <w:lang w:eastAsia="ja-JP"/>
        </w:rPr>
        <w:t>8</w:t>
      </w:r>
      <w:r w:rsidR="00EB6C6F">
        <w:rPr>
          <w:rFonts w:cs="Arial" w:hint="eastAsia"/>
          <w:b/>
          <w:bCs/>
          <w:sz w:val="24"/>
          <w:lang w:eastAsia="ja-JP"/>
        </w:rPr>
        <w:t>.</w:t>
      </w:r>
      <w:r w:rsidR="00372B58">
        <w:rPr>
          <w:rFonts w:cs="Arial" w:hint="eastAsia"/>
          <w:b/>
          <w:bCs/>
          <w:sz w:val="24"/>
          <w:lang w:eastAsia="ja-JP"/>
        </w:rPr>
        <w:t>3</w:t>
      </w:r>
      <w:r w:rsidR="00EB6C6F">
        <w:rPr>
          <w:rFonts w:cs="Arial" w:hint="eastAsia"/>
          <w:b/>
          <w:bCs/>
          <w:sz w:val="24"/>
          <w:lang w:eastAsia="ja-JP"/>
        </w:rPr>
        <w:t>.</w:t>
      </w:r>
      <w:r w:rsidR="00372B58">
        <w:rPr>
          <w:rFonts w:cs="Arial" w:hint="eastAsia"/>
          <w:b/>
          <w:bCs/>
          <w:sz w:val="24"/>
          <w:lang w:eastAsia="ja-JP"/>
        </w:rPr>
        <w:t>1</w:t>
      </w:r>
    </w:p>
    <w:p w14:paraId="6A1BC0C1" w14:textId="2B79AD8D"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68043D">
        <w:rPr>
          <w:rFonts w:ascii="Arial" w:hAnsi="Arial" w:cs="Arial" w:hint="eastAsia"/>
          <w:b/>
          <w:bCs/>
          <w:sz w:val="24"/>
          <w:lang w:eastAsia="ja-JP"/>
        </w:rPr>
        <w:t>NTT DOCOMO, INC.</w:t>
      </w:r>
    </w:p>
    <w:p w14:paraId="45BE90BE" w14:textId="5970093F" w:rsidR="00CD4C7B" w:rsidRDefault="00CD4C7B" w:rsidP="00CD4C7B">
      <w:pPr>
        <w:ind w:left="1985" w:hanging="1985"/>
        <w:rPr>
          <w:rFonts w:ascii="Arial" w:hAnsi="Arial" w:cs="Arial"/>
          <w:b/>
          <w:bCs/>
          <w:sz w:val="24"/>
          <w:lang w:eastAsia="ja-JP"/>
        </w:rPr>
      </w:pPr>
      <w:r w:rsidRPr="00B266B0">
        <w:rPr>
          <w:rFonts w:ascii="Arial" w:hAnsi="Arial" w:cs="Arial"/>
          <w:b/>
          <w:bCs/>
          <w:sz w:val="24"/>
        </w:rPr>
        <w:t>Title:</w:t>
      </w:r>
      <w:r w:rsidRPr="00B266B0">
        <w:rPr>
          <w:rFonts w:ascii="Arial" w:hAnsi="Arial" w:cs="Arial"/>
          <w:b/>
          <w:bCs/>
          <w:sz w:val="24"/>
        </w:rPr>
        <w:tab/>
      </w:r>
      <w:r w:rsidR="00C17220">
        <w:rPr>
          <w:rFonts w:ascii="Arial" w:hAnsi="Arial" w:cs="Arial" w:hint="eastAsia"/>
          <w:b/>
          <w:bCs/>
          <w:sz w:val="24"/>
          <w:lang w:eastAsia="ja-JP"/>
        </w:rPr>
        <w:t>Clarification on desired buffer size</w:t>
      </w:r>
    </w:p>
    <w:p w14:paraId="7DF86DB4" w14:textId="1BC6A43F"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68043D">
        <w:rPr>
          <w:rFonts w:ascii="Arial" w:hAnsi="Arial" w:cs="Arial" w:hint="eastAsia"/>
          <w:b/>
          <w:bCs/>
          <w:sz w:val="24"/>
          <w:lang w:eastAsia="ja-JP"/>
        </w:rPr>
        <w:t>Discussion and Decision</w:t>
      </w:r>
    </w:p>
    <w:p w14:paraId="4004D522" w14:textId="77777777" w:rsidR="00344999" w:rsidRPr="00B266B0" w:rsidRDefault="00344999" w:rsidP="00CD4C7B">
      <w:pPr>
        <w:tabs>
          <w:tab w:val="left" w:pos="1985"/>
        </w:tabs>
        <w:rPr>
          <w:rFonts w:ascii="Arial" w:hAnsi="Arial" w:cs="Arial"/>
          <w:b/>
          <w:bCs/>
          <w:sz w:val="24"/>
        </w:rPr>
      </w:pPr>
    </w:p>
    <w:p w14:paraId="3E959691" w14:textId="77777777" w:rsidR="00CD4C7B" w:rsidRPr="006E13D1" w:rsidRDefault="00CD4C7B" w:rsidP="00CD4C7B">
      <w:pPr>
        <w:pStyle w:val="1"/>
      </w:pPr>
      <w:r w:rsidRPr="006E13D1">
        <w:t>1</w:t>
      </w:r>
      <w:r w:rsidRPr="006E13D1">
        <w:tab/>
      </w:r>
      <w:r w:rsidR="0056573F">
        <w:t>Introduction</w:t>
      </w:r>
    </w:p>
    <w:p w14:paraId="78DFF5BD" w14:textId="405E4485" w:rsidR="00C17220" w:rsidRDefault="00C17220" w:rsidP="00C17220">
      <w:pPr>
        <w:rPr>
          <w:lang w:eastAsia="ja-JP"/>
        </w:rPr>
      </w:pPr>
      <w:r>
        <w:rPr>
          <w:rFonts w:hint="eastAsia"/>
          <w:lang w:eastAsia="ja-JP"/>
        </w:rPr>
        <w:t>S</w:t>
      </w:r>
      <w:r w:rsidRPr="00520BD2">
        <w:rPr>
          <w:lang w:eastAsia="ja-JP"/>
        </w:rPr>
        <w:t>end</w:t>
      </w:r>
      <w:r>
        <w:rPr>
          <w:rFonts w:hint="eastAsia"/>
          <w:lang w:eastAsia="ja-JP"/>
        </w:rPr>
        <w:t>ing</w:t>
      </w:r>
      <w:r w:rsidRPr="00520BD2">
        <w:rPr>
          <w:lang w:eastAsia="ja-JP"/>
        </w:rPr>
        <w:t xml:space="preserve"> </w:t>
      </w:r>
      <w:r>
        <w:rPr>
          <w:rFonts w:hint="eastAsia"/>
          <w:lang w:eastAsia="ja-JP"/>
        </w:rPr>
        <w:t xml:space="preserve">of </w:t>
      </w:r>
      <w:r>
        <w:rPr>
          <w:lang w:eastAsia="ja-JP"/>
        </w:rPr>
        <w:t xml:space="preserve">the DDDS </w:t>
      </w:r>
      <w:r w:rsidRPr="00520BD2">
        <w:rPr>
          <w:lang w:eastAsia="ja-JP"/>
        </w:rPr>
        <w:t>to indicate the desired buffer size</w:t>
      </w:r>
      <w:r>
        <w:rPr>
          <w:lang w:eastAsia="ja-JP"/>
        </w:rPr>
        <w:t xml:space="preserve"> </w:t>
      </w:r>
      <w:r>
        <w:rPr>
          <w:rFonts w:hint="eastAsia"/>
          <w:lang w:eastAsia="ja-JP"/>
        </w:rPr>
        <w:t xml:space="preserve">at an </w:t>
      </w:r>
      <w:r>
        <w:rPr>
          <w:lang w:eastAsia="ja-JP"/>
        </w:rPr>
        <w:t>earl</w:t>
      </w:r>
      <w:r>
        <w:rPr>
          <w:rFonts w:hint="eastAsia"/>
          <w:lang w:eastAsia="ja-JP"/>
        </w:rPr>
        <w:t>y timing (without waiting for RLC Acks) can be useful to solve the following issue mentioned in [1].</w:t>
      </w:r>
    </w:p>
    <w:p w14:paraId="46B06A04" w14:textId="42E34F24" w:rsidR="00C17220" w:rsidRDefault="00C17220" w:rsidP="00C17220">
      <w:pPr>
        <w:rPr>
          <w:lang w:eastAsia="ja-JP"/>
        </w:rPr>
      </w:pPr>
      <w:r w:rsidRPr="00A77CFC">
        <w:rPr>
          <w:i/>
          <w:lang w:eastAsia="ja-JP"/>
        </w:rPr>
        <w:t>“</w:t>
      </w:r>
      <w:r w:rsidRPr="00A77CFC">
        <w:rPr>
          <w:i/>
          <w:lang w:val="en-US" w:eastAsia="ja-JP"/>
        </w:rPr>
        <w:t>With DDDS feedback using Acked PDCP PDUs, it could take time until the first flow control packet is received. This may lead to sub-optimal flow control at the start of data transmissions.</w:t>
      </w:r>
      <w:r w:rsidRPr="00A77CFC">
        <w:rPr>
          <w:i/>
          <w:lang w:eastAsia="ja-JP"/>
        </w:rPr>
        <w:t>”</w:t>
      </w:r>
    </w:p>
    <w:p w14:paraId="2B1B9D7F" w14:textId="0D9B0A06" w:rsidR="00C17220" w:rsidRPr="00A77CFC" w:rsidRDefault="00C17220" w:rsidP="00C17220">
      <w:pPr>
        <w:rPr>
          <w:i/>
          <w:lang w:eastAsia="ja-JP"/>
        </w:rPr>
      </w:pPr>
      <w:r>
        <w:rPr>
          <w:rFonts w:hint="eastAsia"/>
          <w:lang w:eastAsia="ja-JP"/>
        </w:rPr>
        <w:t>However, s</w:t>
      </w:r>
      <w:r w:rsidRPr="00520BD2">
        <w:rPr>
          <w:lang w:eastAsia="ja-JP"/>
        </w:rPr>
        <w:t>end</w:t>
      </w:r>
      <w:r>
        <w:rPr>
          <w:rFonts w:hint="eastAsia"/>
          <w:lang w:eastAsia="ja-JP"/>
        </w:rPr>
        <w:t>ing</w:t>
      </w:r>
      <w:r w:rsidRPr="00520BD2">
        <w:rPr>
          <w:lang w:eastAsia="ja-JP"/>
        </w:rPr>
        <w:t xml:space="preserve"> </w:t>
      </w:r>
      <w:r>
        <w:rPr>
          <w:rFonts w:hint="eastAsia"/>
          <w:lang w:eastAsia="ja-JP"/>
        </w:rPr>
        <w:t xml:space="preserve">of </w:t>
      </w:r>
      <w:r>
        <w:rPr>
          <w:lang w:eastAsia="ja-JP"/>
        </w:rPr>
        <w:t xml:space="preserve">the DDDS </w:t>
      </w:r>
      <w:r w:rsidRPr="00520BD2">
        <w:rPr>
          <w:lang w:eastAsia="ja-JP"/>
        </w:rPr>
        <w:t>to indicate the desired buffer size</w:t>
      </w:r>
      <w:r>
        <w:rPr>
          <w:lang w:eastAsia="ja-JP"/>
        </w:rPr>
        <w:t xml:space="preserve"> </w:t>
      </w:r>
      <w:r>
        <w:rPr>
          <w:rFonts w:hint="eastAsia"/>
          <w:lang w:eastAsia="ja-JP"/>
        </w:rPr>
        <w:t xml:space="preserve">at an </w:t>
      </w:r>
      <w:r>
        <w:rPr>
          <w:lang w:eastAsia="ja-JP"/>
        </w:rPr>
        <w:t>earl</w:t>
      </w:r>
      <w:r>
        <w:rPr>
          <w:rFonts w:hint="eastAsia"/>
          <w:lang w:eastAsia="ja-JP"/>
        </w:rPr>
        <w:t xml:space="preserve">y timing may be still sub-optimal without </w:t>
      </w:r>
      <w:r w:rsidR="008C5EF8">
        <w:rPr>
          <w:rFonts w:hint="eastAsia"/>
          <w:lang w:eastAsia="ja-JP"/>
        </w:rPr>
        <w:t xml:space="preserve">at least </w:t>
      </w:r>
      <w:r>
        <w:rPr>
          <w:rFonts w:hint="eastAsia"/>
          <w:lang w:eastAsia="ja-JP"/>
        </w:rPr>
        <w:t>some information related to the Uu rate as mentioned in [2]</w:t>
      </w:r>
      <w:r w:rsidRPr="008A6444">
        <w:rPr>
          <w:lang w:eastAsia="ja-JP"/>
        </w:rPr>
        <w:t>.</w:t>
      </w:r>
      <w:r>
        <w:rPr>
          <w:rFonts w:hint="eastAsia"/>
          <w:lang w:eastAsia="ja-JP"/>
        </w:rPr>
        <w:t xml:space="preserve">So, some clarification on desired buffer size was proposed in [2] in RAN3#97bis but not discussed well to </w:t>
      </w:r>
      <w:r>
        <w:rPr>
          <w:lang w:eastAsia="ja-JP"/>
        </w:rPr>
        <w:t>concentrate</w:t>
      </w:r>
      <w:r>
        <w:rPr>
          <w:rFonts w:hint="eastAsia"/>
          <w:lang w:eastAsia="ja-JP"/>
        </w:rPr>
        <w:t xml:space="preserve"> on flow control enhancement itself [3].  </w:t>
      </w:r>
    </w:p>
    <w:p w14:paraId="410DFD35" w14:textId="5EF831A8" w:rsidR="00C17220" w:rsidRDefault="00C17220" w:rsidP="00C17220">
      <w:pPr>
        <w:rPr>
          <w:lang w:eastAsia="ja-JP"/>
        </w:rPr>
      </w:pPr>
      <w:r>
        <w:rPr>
          <w:rFonts w:hint="eastAsia"/>
          <w:lang w:eastAsia="ja-JP"/>
        </w:rPr>
        <w:t xml:space="preserve">In this contribution, the usage of desired buffer size is addressed and a </w:t>
      </w:r>
      <w:r>
        <w:rPr>
          <w:lang w:eastAsia="ja-JP"/>
        </w:rPr>
        <w:t>corresponding</w:t>
      </w:r>
      <w:r>
        <w:rPr>
          <w:rFonts w:hint="eastAsia"/>
          <w:lang w:eastAsia="ja-JP"/>
        </w:rPr>
        <w:t xml:space="preserve"> text proposal is provided revising [2].</w:t>
      </w:r>
    </w:p>
    <w:p w14:paraId="127ACA6D" w14:textId="3E645D20" w:rsidR="00CD4C7B" w:rsidRDefault="00CD4C7B" w:rsidP="00CD4C7B">
      <w:pPr>
        <w:pStyle w:val="1"/>
        <w:rPr>
          <w:lang w:val="en-US" w:eastAsia="ja-JP"/>
        </w:rPr>
      </w:pPr>
      <w:r w:rsidRPr="00120C0A">
        <w:rPr>
          <w:lang w:val="en-US"/>
        </w:rPr>
        <w:t>2</w:t>
      </w:r>
      <w:r w:rsidRPr="00120C0A">
        <w:rPr>
          <w:lang w:val="en-US"/>
        </w:rPr>
        <w:tab/>
      </w:r>
      <w:r w:rsidR="004F33D5" w:rsidRPr="00120C0A">
        <w:rPr>
          <w:lang w:val="en-US"/>
        </w:rPr>
        <w:t>Discussion</w:t>
      </w:r>
    </w:p>
    <w:p w14:paraId="2B1D1AE4" w14:textId="4A106001" w:rsidR="000E03DA" w:rsidRDefault="000E03DA" w:rsidP="000E03DA">
      <w:pPr>
        <w:rPr>
          <w:lang w:val="en-US" w:eastAsia="ja-JP"/>
        </w:rPr>
      </w:pPr>
      <w:r>
        <w:rPr>
          <w:rFonts w:hint="eastAsia"/>
          <w:lang w:val="en-US" w:eastAsia="ja-JP"/>
        </w:rPr>
        <w:t xml:space="preserve">With </w:t>
      </w:r>
      <w:r w:rsidR="006D5128">
        <w:rPr>
          <w:rFonts w:hint="eastAsia"/>
          <w:lang w:val="en-US" w:eastAsia="ja-JP"/>
        </w:rPr>
        <w:t xml:space="preserve">a </w:t>
      </w:r>
      <w:r>
        <w:rPr>
          <w:rFonts w:hint="eastAsia"/>
          <w:lang w:val="en-US" w:eastAsia="ja-JP"/>
        </w:rPr>
        <w:t xml:space="preserve">single leg, just running </w:t>
      </w:r>
      <w:r w:rsidR="006D5128">
        <w:rPr>
          <w:rFonts w:hint="eastAsia"/>
          <w:lang w:val="en-US" w:eastAsia="ja-JP"/>
        </w:rPr>
        <w:t xml:space="preserve">out </w:t>
      </w:r>
      <w:r>
        <w:rPr>
          <w:rFonts w:hint="eastAsia"/>
          <w:lang w:val="en-US" w:eastAsia="ja-JP"/>
        </w:rPr>
        <w:t xml:space="preserve">of buffer needs to be considered but for EN-DC, how to split </w:t>
      </w:r>
      <w:r w:rsidR="00851246">
        <w:rPr>
          <w:rFonts w:hint="eastAsia"/>
          <w:lang w:val="en-US" w:eastAsia="ja-JP"/>
        </w:rPr>
        <w:t xml:space="preserve">the data between two nodes </w:t>
      </w:r>
      <w:r>
        <w:rPr>
          <w:rFonts w:hint="eastAsia"/>
          <w:lang w:val="en-US" w:eastAsia="ja-JP"/>
        </w:rPr>
        <w:t>properly needs to be considered.</w:t>
      </w:r>
    </w:p>
    <w:p w14:paraId="5C455CCD" w14:textId="0DCA340E" w:rsidR="000E03DA" w:rsidRDefault="000E03DA" w:rsidP="000E03DA">
      <w:pPr>
        <w:rPr>
          <w:lang w:val="en-US" w:eastAsia="ja-JP"/>
        </w:rPr>
      </w:pPr>
      <w:r>
        <w:rPr>
          <w:lang w:val="en-US" w:eastAsia="ja-JP"/>
        </w:rPr>
        <w:t>Figure 1 shows the case</w:t>
      </w:r>
      <w:r>
        <w:rPr>
          <w:rFonts w:hint="eastAsia"/>
          <w:lang w:val="en-US" w:eastAsia="ja-JP"/>
        </w:rPr>
        <w:t xml:space="preserve"> how to slit data between two nodes at the start of data transmission.</w:t>
      </w:r>
    </w:p>
    <w:p w14:paraId="4E76E42E" w14:textId="70F5AD93" w:rsidR="006D5128" w:rsidRDefault="0086647F" w:rsidP="000E03DA">
      <w:pPr>
        <w:rPr>
          <w:lang w:val="en-US" w:eastAsia="ja-JP"/>
        </w:rPr>
      </w:pPr>
      <w:r>
        <w:rPr>
          <w:rFonts w:hint="eastAsia"/>
          <w:lang w:val="en-US" w:eastAsia="ja-JP"/>
        </w:rPr>
        <w:t xml:space="preserve">Note that following figures shows SCG split bearer case but same issue would be </w:t>
      </w:r>
      <w:r>
        <w:rPr>
          <w:lang w:val="en-US" w:eastAsia="ja-JP"/>
        </w:rPr>
        <w:t>occurred</w:t>
      </w:r>
      <w:r>
        <w:rPr>
          <w:rFonts w:hint="eastAsia"/>
          <w:lang w:val="en-US" w:eastAsia="ja-JP"/>
        </w:rPr>
        <w:t xml:space="preserve"> to MCG split bearer.</w:t>
      </w:r>
    </w:p>
    <w:p w14:paraId="4E492024" w14:textId="66291F1B" w:rsidR="000E03DA" w:rsidRDefault="00F53E62" w:rsidP="00F53E62">
      <w:pPr>
        <w:jc w:val="center"/>
        <w:rPr>
          <w:lang w:val="en-US" w:eastAsia="ja-JP"/>
        </w:rPr>
      </w:pPr>
      <w:r>
        <w:rPr>
          <w:noProof/>
          <w:lang w:val="en-US" w:eastAsia="ja-JP"/>
        </w:rPr>
        <w:lastRenderedPageBreak/>
        <w:drawing>
          <wp:inline distT="0" distB="0" distL="0" distR="0" wp14:anchorId="21744F7F" wp14:editId="271DF296">
            <wp:extent cx="5022293" cy="352729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24350" cy="3528739"/>
                    </a:xfrm>
                    <a:prstGeom prst="rect">
                      <a:avLst/>
                    </a:prstGeom>
                    <a:noFill/>
                    <a:ln>
                      <a:noFill/>
                    </a:ln>
                  </pic:spPr>
                </pic:pic>
              </a:graphicData>
            </a:graphic>
          </wp:inline>
        </w:drawing>
      </w:r>
    </w:p>
    <w:p w14:paraId="7B39A197" w14:textId="6544A4BB" w:rsidR="000E03DA" w:rsidRDefault="000E03DA" w:rsidP="000E03DA">
      <w:pPr>
        <w:jc w:val="center"/>
        <w:rPr>
          <w:lang w:val="en-US" w:eastAsia="ja-JP"/>
        </w:rPr>
      </w:pPr>
      <w:r>
        <w:rPr>
          <w:lang w:val="en-US" w:eastAsia="ja-JP"/>
        </w:rPr>
        <w:t>Figure 1</w:t>
      </w:r>
      <w:r>
        <w:rPr>
          <w:rFonts w:hint="eastAsia"/>
          <w:lang w:val="en-US" w:eastAsia="ja-JP"/>
        </w:rPr>
        <w:t xml:space="preserve"> how to split data to two nodes.</w:t>
      </w:r>
    </w:p>
    <w:p w14:paraId="07DF4200" w14:textId="77777777" w:rsidR="0086647F" w:rsidRDefault="0086647F" w:rsidP="000E03DA">
      <w:pPr>
        <w:rPr>
          <w:lang w:val="en-US" w:eastAsia="ja-JP"/>
        </w:rPr>
      </w:pPr>
    </w:p>
    <w:p w14:paraId="00357903" w14:textId="04F8742B" w:rsidR="00561E55" w:rsidRDefault="00561E55" w:rsidP="000E03DA">
      <w:pPr>
        <w:rPr>
          <w:lang w:val="en-US" w:eastAsia="ja-JP"/>
        </w:rPr>
      </w:pPr>
      <w:r>
        <w:rPr>
          <w:rFonts w:hint="eastAsia"/>
          <w:lang w:val="en-US" w:eastAsia="ja-JP"/>
        </w:rPr>
        <w:t>Since the node hosting PDCP (gNB in the case of Figure 1) will transfer data to the corresponding node (eNB in the case of Figure 1), setting of the desired buffer size value is important to fully utilize radio legs of both nodes. Figure 2 shows the cases where inappropriate setting of the desired buffer size value results in under-utilization of one of the radio legs. This is shown in Figure 2, where the followings are assumed for illustration: (1) the total data size is 50MB; (2) the node hosting PDCP is gNB with Uu rate of 400Mbps; and (3) the corresponding node is eNB with Uu rate of 100Mbps.</w:t>
      </w:r>
    </w:p>
    <w:p w14:paraId="2CDDB2C6" w14:textId="421B6F80" w:rsidR="0086647F" w:rsidRDefault="00F53E62" w:rsidP="0086647F">
      <w:pPr>
        <w:jc w:val="center"/>
        <w:rPr>
          <w:lang w:val="en-US" w:eastAsia="ja-JP"/>
        </w:rPr>
      </w:pPr>
      <w:r>
        <w:rPr>
          <w:noProof/>
          <w:lang w:val="en-US" w:eastAsia="ja-JP"/>
        </w:rPr>
        <w:drawing>
          <wp:inline distT="0" distB="0" distL="0" distR="0" wp14:anchorId="5944C470" wp14:editId="597E5AE0">
            <wp:extent cx="6724697" cy="2604865"/>
            <wp:effectExtent l="0" t="0" r="0" b="508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27157" cy="2605818"/>
                    </a:xfrm>
                    <a:prstGeom prst="rect">
                      <a:avLst/>
                    </a:prstGeom>
                    <a:noFill/>
                    <a:ln>
                      <a:noFill/>
                    </a:ln>
                  </pic:spPr>
                </pic:pic>
              </a:graphicData>
            </a:graphic>
          </wp:inline>
        </w:drawing>
      </w:r>
    </w:p>
    <w:p w14:paraId="0914FFE6" w14:textId="114F565C" w:rsidR="0086647F" w:rsidRDefault="0086647F" w:rsidP="0086647F">
      <w:pPr>
        <w:jc w:val="center"/>
        <w:rPr>
          <w:lang w:val="en-US" w:eastAsia="ja-JP"/>
        </w:rPr>
      </w:pPr>
      <w:r>
        <w:rPr>
          <w:lang w:val="en-US" w:eastAsia="ja-JP"/>
        </w:rPr>
        <w:t xml:space="preserve">Figure </w:t>
      </w:r>
      <w:r>
        <w:rPr>
          <w:rFonts w:hint="eastAsia"/>
          <w:lang w:val="en-US" w:eastAsia="ja-JP"/>
        </w:rPr>
        <w:t xml:space="preserve">2 </w:t>
      </w:r>
      <w:r w:rsidRPr="000E03DA">
        <w:rPr>
          <w:lang w:val="en-US" w:eastAsia="ja-JP"/>
        </w:rPr>
        <w:t>shortage</w:t>
      </w:r>
      <w:r>
        <w:rPr>
          <w:rFonts w:hint="eastAsia"/>
          <w:lang w:val="en-US" w:eastAsia="ja-JP"/>
        </w:rPr>
        <w:t xml:space="preserve"> </w:t>
      </w:r>
      <w:r w:rsidR="00C9375D">
        <w:rPr>
          <w:rFonts w:hint="eastAsia"/>
          <w:lang w:val="en-US" w:eastAsia="ja-JP"/>
        </w:rPr>
        <w:t>of the transmission buffer</w:t>
      </w:r>
    </w:p>
    <w:p w14:paraId="3D5AE06F" w14:textId="77777777" w:rsidR="00D555B8" w:rsidRDefault="00D555B8" w:rsidP="000E03DA">
      <w:pPr>
        <w:rPr>
          <w:lang w:val="en-US" w:eastAsia="ja-JP"/>
        </w:rPr>
      </w:pPr>
    </w:p>
    <w:p w14:paraId="5E7BB740" w14:textId="65D4E347" w:rsidR="00561E55" w:rsidRDefault="00561E55" w:rsidP="00561E55">
      <w:pPr>
        <w:rPr>
          <w:lang w:val="en-US" w:eastAsia="ja-JP"/>
        </w:rPr>
      </w:pPr>
      <w:r>
        <w:rPr>
          <w:rFonts w:hint="eastAsia"/>
          <w:lang w:val="en-US" w:eastAsia="ja-JP"/>
        </w:rPr>
        <w:t xml:space="preserve">In the example of a) in Figure 2, the desired buffer size value reported by eNB is too small and shortage of the LTE transmission buffer </w:t>
      </w:r>
      <w:r>
        <w:rPr>
          <w:lang w:val="en-US" w:eastAsia="ja-JP"/>
        </w:rPr>
        <w:t>occurs</w:t>
      </w:r>
      <w:r>
        <w:rPr>
          <w:rFonts w:hint="eastAsia"/>
          <w:lang w:val="en-US" w:eastAsia="ja-JP"/>
        </w:rPr>
        <w:t xml:space="preserve"> at the eNB. Conversely, in the example of b) in Figure 2, the desired buffer size value reported by eNB is too large and shortage of the NR transmission buffer occurs at the gNB. In both examples a) and b), there results a time where only one of the radio legs performs data transmission while the other radio stops data </w:t>
      </w:r>
      <w:r>
        <w:rPr>
          <w:lang w:val="en-US" w:eastAsia="ja-JP"/>
        </w:rPr>
        <w:lastRenderedPageBreak/>
        <w:t>transmission</w:t>
      </w:r>
      <w:r>
        <w:rPr>
          <w:rFonts w:hint="eastAsia"/>
          <w:lang w:val="en-US" w:eastAsia="ja-JP"/>
        </w:rPr>
        <w:t xml:space="preserve"> due to transmission buffer shortage. The total time to transfer the 50MB data is 9</w:t>
      </w:r>
      <w:r w:rsidR="00D555B8">
        <w:rPr>
          <w:rFonts w:hint="eastAsia"/>
          <w:lang w:val="en-US" w:eastAsia="ja-JP"/>
        </w:rPr>
        <w:t xml:space="preserve">80ms and 2000ms </w:t>
      </w:r>
      <w:r>
        <w:rPr>
          <w:rFonts w:hint="eastAsia"/>
          <w:lang w:val="en-US" w:eastAsia="ja-JP"/>
        </w:rPr>
        <w:t>for the examples of a) and b), respectively.</w:t>
      </w:r>
    </w:p>
    <w:p w14:paraId="715E4E80" w14:textId="3D6DAB90" w:rsidR="00561E55" w:rsidRDefault="00561E55" w:rsidP="00561E55">
      <w:pPr>
        <w:rPr>
          <w:b/>
          <w:i/>
          <w:lang w:val="en-US" w:eastAsia="ja-JP"/>
        </w:rPr>
      </w:pPr>
      <w:r w:rsidRPr="00D34888">
        <w:rPr>
          <w:b/>
          <w:i/>
          <w:lang w:val="en-US" w:eastAsia="ja-JP"/>
        </w:rPr>
        <w:t>Observation</w:t>
      </w:r>
      <w:r>
        <w:rPr>
          <w:rFonts w:hint="eastAsia"/>
          <w:b/>
          <w:i/>
          <w:lang w:val="en-US" w:eastAsia="ja-JP"/>
        </w:rPr>
        <w:t>1</w:t>
      </w:r>
      <w:r w:rsidRPr="00D34888">
        <w:rPr>
          <w:rFonts w:hint="eastAsia"/>
          <w:b/>
          <w:i/>
          <w:lang w:val="en-US" w:eastAsia="ja-JP"/>
        </w:rPr>
        <w:t xml:space="preserve">: </w:t>
      </w:r>
      <w:r>
        <w:rPr>
          <w:rFonts w:hint="eastAsia"/>
          <w:b/>
          <w:i/>
          <w:lang w:val="en-US" w:eastAsia="ja-JP"/>
        </w:rPr>
        <w:t>Appropriate setting of the desired buffer size value in DDDS is required to avoid transmission buffer shortage and to fully utilize both radio legs.</w:t>
      </w:r>
    </w:p>
    <w:p w14:paraId="1A22406E" w14:textId="0FDC349E" w:rsidR="0086647F" w:rsidRPr="00D555B8" w:rsidRDefault="00A373F7" w:rsidP="000E03DA">
      <w:pPr>
        <w:rPr>
          <w:lang w:val="en-US" w:eastAsia="ja-JP"/>
        </w:rPr>
      </w:pPr>
      <w:r>
        <w:rPr>
          <w:rFonts w:hint="eastAsia"/>
          <w:lang w:val="en-US" w:eastAsia="ja-JP"/>
        </w:rPr>
        <w:t>The optimal way to split data between the node hosting PDCP and the corresponding node is to split the data according to the ratio of the Uu data rates of the two nodes</w:t>
      </w:r>
      <w:r w:rsidR="008C5EF8">
        <w:rPr>
          <w:rFonts w:hint="eastAsia"/>
          <w:lang w:val="en-US" w:eastAsia="ja-JP"/>
        </w:rPr>
        <w:t xml:space="preserve"> at least</w:t>
      </w:r>
      <w:r>
        <w:rPr>
          <w:rFonts w:hint="eastAsia"/>
          <w:lang w:val="en-US" w:eastAsia="ja-JP"/>
        </w:rPr>
        <w:t>, as illustrated in Figure 3.</w:t>
      </w:r>
    </w:p>
    <w:p w14:paraId="05B31460" w14:textId="3641832D" w:rsidR="00D555B8" w:rsidRPr="00D555B8" w:rsidRDefault="00D555B8" w:rsidP="00851246">
      <w:pPr>
        <w:jc w:val="center"/>
        <w:rPr>
          <w:lang w:val="en-US" w:eastAsia="ja-JP"/>
        </w:rPr>
      </w:pPr>
    </w:p>
    <w:p w14:paraId="0C8D09B8" w14:textId="5AB90A85" w:rsidR="0051232D" w:rsidRPr="0086647F" w:rsidRDefault="00F53E62" w:rsidP="00D555B8">
      <w:pPr>
        <w:jc w:val="center"/>
        <w:rPr>
          <w:lang w:val="en-US" w:eastAsia="ja-JP"/>
        </w:rPr>
      </w:pPr>
      <w:r>
        <w:rPr>
          <w:noProof/>
          <w:lang w:val="en-US" w:eastAsia="ja-JP"/>
        </w:rPr>
        <w:drawing>
          <wp:inline distT="0" distB="0" distL="0" distR="0" wp14:anchorId="14CAD34F" wp14:editId="565C9130">
            <wp:extent cx="4997771" cy="3459708"/>
            <wp:effectExtent l="0" t="0" r="0" b="762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01156" cy="3462051"/>
                    </a:xfrm>
                    <a:prstGeom prst="rect">
                      <a:avLst/>
                    </a:prstGeom>
                    <a:noFill/>
                    <a:ln>
                      <a:noFill/>
                    </a:ln>
                  </pic:spPr>
                </pic:pic>
              </a:graphicData>
            </a:graphic>
          </wp:inline>
        </w:drawing>
      </w:r>
    </w:p>
    <w:p w14:paraId="67874D39" w14:textId="456ED49B" w:rsidR="00D555B8" w:rsidRDefault="00D555B8" w:rsidP="00D555B8">
      <w:pPr>
        <w:jc w:val="center"/>
        <w:rPr>
          <w:lang w:val="en-US" w:eastAsia="ja-JP"/>
        </w:rPr>
      </w:pPr>
      <w:r>
        <w:rPr>
          <w:lang w:val="en-US" w:eastAsia="ja-JP"/>
        </w:rPr>
        <w:t xml:space="preserve">Figure </w:t>
      </w:r>
      <w:r>
        <w:rPr>
          <w:rFonts w:hint="eastAsia"/>
          <w:lang w:val="en-US" w:eastAsia="ja-JP"/>
        </w:rPr>
        <w:t xml:space="preserve">3 </w:t>
      </w:r>
      <w:r w:rsidR="00C9375D">
        <w:rPr>
          <w:rFonts w:hint="eastAsia"/>
          <w:lang w:val="en-US" w:eastAsia="ja-JP"/>
        </w:rPr>
        <w:t xml:space="preserve">Split of the data where </w:t>
      </w:r>
      <w:r w:rsidR="00C9375D" w:rsidRPr="00C9375D">
        <w:rPr>
          <w:lang w:val="en-US" w:eastAsia="ja-JP"/>
        </w:rPr>
        <w:t>both radio legs are fully utilized</w:t>
      </w:r>
    </w:p>
    <w:p w14:paraId="2A3E87E0" w14:textId="77777777" w:rsidR="00A373F7" w:rsidRDefault="00D555B8" w:rsidP="000E03DA">
      <w:pPr>
        <w:rPr>
          <w:lang w:val="en-US" w:eastAsia="ja-JP"/>
        </w:rPr>
      </w:pPr>
      <w:r>
        <w:rPr>
          <w:rFonts w:hint="eastAsia"/>
          <w:lang w:val="en-US" w:eastAsia="ja-JP"/>
        </w:rPr>
        <w:t xml:space="preserve">In </w:t>
      </w:r>
      <w:r w:rsidR="00A373F7">
        <w:rPr>
          <w:rFonts w:hint="eastAsia"/>
          <w:lang w:val="en-US" w:eastAsia="ja-JP"/>
        </w:rPr>
        <w:t>the example of Figure 3, both radio legs are fully utilized to transfer the 50MB data. The total time to transfer the 50MB is 800ms.</w:t>
      </w:r>
    </w:p>
    <w:p w14:paraId="3B7F6869" w14:textId="029B7CBF" w:rsidR="00A373F7" w:rsidRDefault="00A373F7" w:rsidP="00A373F7">
      <w:pPr>
        <w:rPr>
          <w:b/>
          <w:i/>
          <w:lang w:val="en-US" w:eastAsia="ja-JP"/>
        </w:rPr>
      </w:pPr>
      <w:r w:rsidRPr="00D34888">
        <w:rPr>
          <w:b/>
          <w:i/>
          <w:lang w:val="en-US" w:eastAsia="ja-JP"/>
        </w:rPr>
        <w:t>Observation</w:t>
      </w:r>
      <w:r>
        <w:rPr>
          <w:rFonts w:hint="eastAsia"/>
          <w:b/>
          <w:i/>
          <w:lang w:val="en-US" w:eastAsia="ja-JP"/>
        </w:rPr>
        <w:t>2</w:t>
      </w:r>
      <w:r w:rsidRPr="00D34888">
        <w:rPr>
          <w:rFonts w:hint="eastAsia"/>
          <w:b/>
          <w:i/>
          <w:lang w:val="en-US" w:eastAsia="ja-JP"/>
        </w:rPr>
        <w:t xml:space="preserve">: </w:t>
      </w:r>
      <w:r>
        <w:rPr>
          <w:rFonts w:hint="eastAsia"/>
          <w:b/>
          <w:i/>
          <w:lang w:val="en-US" w:eastAsia="ja-JP"/>
        </w:rPr>
        <w:t>It is preferable for the node hosting PDCP to split data between the node hosting PDCP and the corresponding node according to the ratio of the Uu data rates of the two nodes in order to avoid transmission buffer shortage and to fully utilize both radio legs.</w:t>
      </w:r>
    </w:p>
    <w:p w14:paraId="71FA4A6D" w14:textId="53766821" w:rsidR="00CB00E5" w:rsidRDefault="00CB00E5" w:rsidP="00A373F7">
      <w:pPr>
        <w:rPr>
          <w:lang w:val="en-US" w:eastAsia="ja-JP"/>
        </w:rPr>
      </w:pPr>
      <w:r>
        <w:rPr>
          <w:rFonts w:hint="eastAsia"/>
          <w:lang w:val="en-US" w:eastAsia="ja-JP"/>
        </w:rPr>
        <w:t>Then, the question is how the node hosting PDCP can derive the Uu data rate of the corresponding node from the desired buffer size reported in DDDS. One possible implementation to achieve this is as follows:</w:t>
      </w:r>
    </w:p>
    <w:p w14:paraId="5D0EAC9F" w14:textId="5746788E" w:rsidR="00CB00E5" w:rsidRDefault="00CB00E5" w:rsidP="00A373F7">
      <w:pPr>
        <w:rPr>
          <w:lang w:val="en-US" w:eastAsia="ja-JP"/>
        </w:rPr>
      </w:pPr>
      <w:r>
        <w:rPr>
          <w:rFonts w:hint="eastAsia"/>
          <w:lang w:val="en-US" w:eastAsia="ja-JP"/>
        </w:rPr>
        <w:t xml:space="preserve">The node hosting PDCP and the corresponding node jointly associates some time period for the desired buffer size, where the quotient of the desired buffer size and the associated time period is </w:t>
      </w:r>
      <w:r>
        <w:rPr>
          <w:lang w:val="en-US" w:eastAsia="ja-JP"/>
        </w:rPr>
        <w:t>reflective</w:t>
      </w:r>
      <w:r>
        <w:rPr>
          <w:rFonts w:hint="eastAsia"/>
          <w:lang w:val="en-US" w:eastAsia="ja-JP"/>
        </w:rPr>
        <w:t xml:space="preserve"> of the Uu rate of the corresponding node. This is illustrated in Figure 4.</w:t>
      </w:r>
    </w:p>
    <w:p w14:paraId="5973FB8E" w14:textId="29E04DE0" w:rsidR="00C9375D" w:rsidRDefault="00F53E62" w:rsidP="00F53E62">
      <w:pPr>
        <w:jc w:val="center"/>
        <w:rPr>
          <w:lang w:val="en-US" w:eastAsia="ja-JP"/>
        </w:rPr>
      </w:pPr>
      <w:r>
        <w:rPr>
          <w:noProof/>
          <w:lang w:val="en-US" w:eastAsia="ja-JP"/>
        </w:rPr>
        <w:lastRenderedPageBreak/>
        <w:drawing>
          <wp:inline distT="0" distB="0" distL="0" distR="0" wp14:anchorId="7B133919" wp14:editId="37980A4D">
            <wp:extent cx="5296552" cy="3862316"/>
            <wp:effectExtent l="0" t="0" r="0" b="508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97790" cy="3863219"/>
                    </a:xfrm>
                    <a:prstGeom prst="rect">
                      <a:avLst/>
                    </a:prstGeom>
                    <a:noFill/>
                    <a:ln>
                      <a:noFill/>
                    </a:ln>
                  </pic:spPr>
                </pic:pic>
              </a:graphicData>
            </a:graphic>
          </wp:inline>
        </w:drawing>
      </w:r>
    </w:p>
    <w:p w14:paraId="356D8068" w14:textId="049D2065" w:rsidR="00C9375D" w:rsidRDefault="00C9375D" w:rsidP="00C9375D">
      <w:pPr>
        <w:jc w:val="center"/>
        <w:rPr>
          <w:lang w:val="en-US" w:eastAsia="ja-JP"/>
        </w:rPr>
      </w:pPr>
      <w:r>
        <w:rPr>
          <w:lang w:val="en-US" w:eastAsia="ja-JP"/>
        </w:rPr>
        <w:t xml:space="preserve">Figure </w:t>
      </w:r>
      <w:r>
        <w:rPr>
          <w:rFonts w:hint="eastAsia"/>
          <w:lang w:val="en-US" w:eastAsia="ja-JP"/>
        </w:rPr>
        <w:t xml:space="preserve">4 how to split the data where </w:t>
      </w:r>
      <w:r w:rsidRPr="00C9375D">
        <w:rPr>
          <w:lang w:val="en-US" w:eastAsia="ja-JP"/>
        </w:rPr>
        <w:t>both radio legs are fully utilize</w:t>
      </w:r>
      <w:r>
        <w:rPr>
          <w:rFonts w:hint="eastAsia"/>
          <w:lang w:val="en-US" w:eastAsia="ja-JP"/>
        </w:rPr>
        <w:t>d</w:t>
      </w:r>
    </w:p>
    <w:p w14:paraId="34FC12ED" w14:textId="77777777" w:rsidR="00C9375D" w:rsidRPr="00C9375D" w:rsidRDefault="00C9375D" w:rsidP="00A373F7">
      <w:pPr>
        <w:rPr>
          <w:lang w:val="en-US" w:eastAsia="ja-JP"/>
        </w:rPr>
      </w:pPr>
    </w:p>
    <w:p w14:paraId="1D15F39B" w14:textId="4531E69C" w:rsidR="00CB00E5" w:rsidRDefault="00CB00E5" w:rsidP="00CB00E5">
      <w:pPr>
        <w:rPr>
          <w:b/>
          <w:i/>
          <w:lang w:val="en-US" w:eastAsia="ja-JP"/>
        </w:rPr>
      </w:pPr>
      <w:r w:rsidRPr="00D34888">
        <w:rPr>
          <w:b/>
          <w:i/>
          <w:lang w:val="en-US" w:eastAsia="ja-JP"/>
        </w:rPr>
        <w:t>Observation</w:t>
      </w:r>
      <w:r>
        <w:rPr>
          <w:rFonts w:hint="eastAsia"/>
          <w:b/>
          <w:i/>
          <w:lang w:val="en-US" w:eastAsia="ja-JP"/>
        </w:rPr>
        <w:t>3</w:t>
      </w:r>
      <w:r w:rsidRPr="00D34888">
        <w:rPr>
          <w:rFonts w:hint="eastAsia"/>
          <w:b/>
          <w:i/>
          <w:lang w:val="en-US" w:eastAsia="ja-JP"/>
        </w:rPr>
        <w:t xml:space="preserve">: </w:t>
      </w:r>
      <w:r>
        <w:rPr>
          <w:rFonts w:hint="eastAsia"/>
          <w:b/>
          <w:i/>
          <w:lang w:val="en-US" w:eastAsia="ja-JP"/>
        </w:rPr>
        <w:t>In an implementation, the node hosting PDCP and the corresponding node may jointly associate some time period for the desired buffer size reported in DDDS so that the node hosting PDCP can derive the Uu data rate of the corresponding node (and to split data between the node hosting PDCP and the corresponding node according to the ratio of the Uu data rates of the two nodes).</w:t>
      </w:r>
    </w:p>
    <w:p w14:paraId="5CC1C244" w14:textId="77777777" w:rsidR="00D555B8" w:rsidRPr="00CB00E5" w:rsidRDefault="00D555B8" w:rsidP="000E03DA">
      <w:pPr>
        <w:rPr>
          <w:lang w:val="en-US" w:eastAsia="ja-JP"/>
        </w:rPr>
      </w:pPr>
    </w:p>
    <w:p w14:paraId="055F1EC0" w14:textId="6C6CE4E7" w:rsidR="00CB00E5" w:rsidRDefault="00546B8D" w:rsidP="00546B8D">
      <w:pPr>
        <w:rPr>
          <w:b/>
          <w:i/>
          <w:lang w:val="en-US" w:eastAsia="ja-JP"/>
        </w:rPr>
      </w:pPr>
      <w:r w:rsidRPr="00546B8D">
        <w:rPr>
          <w:rFonts w:hint="eastAsia"/>
          <w:b/>
          <w:i/>
          <w:lang w:val="en-US" w:eastAsia="ja-JP"/>
        </w:rPr>
        <w:t xml:space="preserve">Proposal: </w:t>
      </w:r>
      <w:r w:rsidR="00CB00E5">
        <w:rPr>
          <w:rFonts w:hint="eastAsia"/>
          <w:b/>
          <w:i/>
          <w:lang w:val="en-US" w:eastAsia="ja-JP"/>
        </w:rPr>
        <w:t>To agree on a text proposal which refers to the possible implementation stated in Observation 3.</w:t>
      </w:r>
    </w:p>
    <w:p w14:paraId="01921578" w14:textId="77777777" w:rsidR="00081C01" w:rsidRPr="00CB00E5" w:rsidRDefault="00081C01" w:rsidP="00081C01">
      <w:pPr>
        <w:rPr>
          <w:b/>
          <w:lang w:val="en-US" w:eastAsia="ja-JP"/>
        </w:rPr>
      </w:pPr>
    </w:p>
    <w:p w14:paraId="5B5C556D" w14:textId="24A82A21" w:rsidR="004F33D5" w:rsidRPr="000A78CD" w:rsidRDefault="004F33D5" w:rsidP="004F33D5">
      <w:pPr>
        <w:pStyle w:val="1"/>
        <w:rPr>
          <w:lang w:val="en-US"/>
        </w:rPr>
      </w:pPr>
      <w:r w:rsidRPr="000A78CD">
        <w:rPr>
          <w:lang w:val="en-US"/>
        </w:rPr>
        <w:t>3</w:t>
      </w:r>
      <w:r w:rsidRPr="000A78CD">
        <w:rPr>
          <w:lang w:val="en-US"/>
        </w:rPr>
        <w:tab/>
        <w:t>Summary</w:t>
      </w:r>
    </w:p>
    <w:p w14:paraId="490C3F95" w14:textId="77777777" w:rsidR="00C17220" w:rsidRDefault="00C17220" w:rsidP="00C17220">
      <w:pPr>
        <w:rPr>
          <w:lang w:eastAsia="ja-JP"/>
        </w:rPr>
      </w:pPr>
      <w:r>
        <w:rPr>
          <w:rFonts w:hint="eastAsia"/>
          <w:lang w:eastAsia="ja-JP"/>
        </w:rPr>
        <w:t xml:space="preserve">In this contribution, the usage of desired buffer size is addressed and a </w:t>
      </w:r>
      <w:r>
        <w:rPr>
          <w:lang w:eastAsia="ja-JP"/>
        </w:rPr>
        <w:t>corresponding</w:t>
      </w:r>
      <w:r>
        <w:rPr>
          <w:rFonts w:hint="eastAsia"/>
          <w:lang w:eastAsia="ja-JP"/>
        </w:rPr>
        <w:t xml:space="preserve"> text proposal is provided revising [2].</w:t>
      </w:r>
    </w:p>
    <w:p w14:paraId="2EB286F0" w14:textId="77777777" w:rsidR="00165552" w:rsidRDefault="00165552" w:rsidP="00165552">
      <w:pPr>
        <w:rPr>
          <w:lang w:eastAsia="ja-JP"/>
        </w:rPr>
      </w:pPr>
      <w:r>
        <w:rPr>
          <w:lang w:eastAsia="ja-JP"/>
        </w:rPr>
        <w:t xml:space="preserve">this </w:t>
      </w:r>
      <w:r>
        <w:rPr>
          <w:rFonts w:hint="eastAsia"/>
          <w:lang w:eastAsia="ja-JP"/>
        </w:rPr>
        <w:t>contribution addressed the usage of desired buffer size, and made the following observations and proposal:</w:t>
      </w:r>
    </w:p>
    <w:p w14:paraId="7B4A0926" w14:textId="77777777" w:rsidR="00CB00E5" w:rsidRDefault="00CB00E5" w:rsidP="00CB00E5">
      <w:pPr>
        <w:rPr>
          <w:b/>
          <w:i/>
          <w:lang w:val="en-US" w:eastAsia="ja-JP"/>
        </w:rPr>
      </w:pPr>
      <w:r w:rsidRPr="00D34888">
        <w:rPr>
          <w:b/>
          <w:i/>
          <w:lang w:val="en-US" w:eastAsia="ja-JP"/>
        </w:rPr>
        <w:t>Observation</w:t>
      </w:r>
      <w:r>
        <w:rPr>
          <w:rFonts w:hint="eastAsia"/>
          <w:b/>
          <w:i/>
          <w:lang w:val="en-US" w:eastAsia="ja-JP"/>
        </w:rPr>
        <w:t>1</w:t>
      </w:r>
      <w:r w:rsidRPr="00D34888">
        <w:rPr>
          <w:rFonts w:hint="eastAsia"/>
          <w:b/>
          <w:i/>
          <w:lang w:val="en-US" w:eastAsia="ja-JP"/>
        </w:rPr>
        <w:t xml:space="preserve">: </w:t>
      </w:r>
      <w:r>
        <w:rPr>
          <w:rFonts w:hint="eastAsia"/>
          <w:b/>
          <w:i/>
          <w:lang w:val="en-US" w:eastAsia="ja-JP"/>
        </w:rPr>
        <w:t>Appropriate setting of the desired buffer size value in DDDS is required to avoid transmission buffer shortage and to fully utilize both radio legs.</w:t>
      </w:r>
    </w:p>
    <w:p w14:paraId="6F707153" w14:textId="77777777" w:rsidR="00CB00E5" w:rsidRDefault="00CB00E5" w:rsidP="00CB00E5">
      <w:pPr>
        <w:rPr>
          <w:b/>
          <w:i/>
          <w:lang w:val="en-US" w:eastAsia="ja-JP"/>
        </w:rPr>
      </w:pPr>
      <w:r w:rsidRPr="00D34888">
        <w:rPr>
          <w:b/>
          <w:i/>
          <w:lang w:val="en-US" w:eastAsia="ja-JP"/>
        </w:rPr>
        <w:t>Observation</w:t>
      </w:r>
      <w:r>
        <w:rPr>
          <w:rFonts w:hint="eastAsia"/>
          <w:b/>
          <w:i/>
          <w:lang w:val="en-US" w:eastAsia="ja-JP"/>
        </w:rPr>
        <w:t>2</w:t>
      </w:r>
      <w:r w:rsidRPr="00D34888">
        <w:rPr>
          <w:rFonts w:hint="eastAsia"/>
          <w:b/>
          <w:i/>
          <w:lang w:val="en-US" w:eastAsia="ja-JP"/>
        </w:rPr>
        <w:t xml:space="preserve">: </w:t>
      </w:r>
      <w:r>
        <w:rPr>
          <w:rFonts w:hint="eastAsia"/>
          <w:b/>
          <w:i/>
          <w:lang w:val="en-US" w:eastAsia="ja-JP"/>
        </w:rPr>
        <w:t>It is preferable for the node hosting PDCP to split data between the node hosting PDCP and the corresponding node according to the ratio of the Uu data rates of the two nodes in order to avoid transmission buffer shortage and to fully utilize both radio legs.</w:t>
      </w:r>
    </w:p>
    <w:p w14:paraId="30B7814E" w14:textId="77777777" w:rsidR="00CB00E5" w:rsidRDefault="00CB00E5" w:rsidP="00CB00E5">
      <w:pPr>
        <w:rPr>
          <w:b/>
          <w:i/>
          <w:lang w:val="en-US" w:eastAsia="ja-JP"/>
        </w:rPr>
      </w:pPr>
      <w:r w:rsidRPr="00D34888">
        <w:rPr>
          <w:b/>
          <w:i/>
          <w:lang w:val="en-US" w:eastAsia="ja-JP"/>
        </w:rPr>
        <w:t>Observation</w:t>
      </w:r>
      <w:r>
        <w:rPr>
          <w:rFonts w:hint="eastAsia"/>
          <w:b/>
          <w:i/>
          <w:lang w:val="en-US" w:eastAsia="ja-JP"/>
        </w:rPr>
        <w:t>3</w:t>
      </w:r>
      <w:r w:rsidRPr="00D34888">
        <w:rPr>
          <w:rFonts w:hint="eastAsia"/>
          <w:b/>
          <w:i/>
          <w:lang w:val="en-US" w:eastAsia="ja-JP"/>
        </w:rPr>
        <w:t xml:space="preserve">: </w:t>
      </w:r>
      <w:r>
        <w:rPr>
          <w:rFonts w:hint="eastAsia"/>
          <w:b/>
          <w:i/>
          <w:lang w:val="en-US" w:eastAsia="ja-JP"/>
        </w:rPr>
        <w:t>In an implementation, the node hosting PDCP and the corresponding node may jointly associate some time period for the desired buffer size reported in DDDS so that the node hosting PDCP can derive the Uu data rate of the corresponding node (and to split data between the node hosting PDCP and the corresponding node according to the ratio of the Uu data rates of the two nodes).</w:t>
      </w:r>
    </w:p>
    <w:p w14:paraId="0AE86408" w14:textId="77777777" w:rsidR="00CB00E5" w:rsidRPr="00CB00E5" w:rsidRDefault="00CB00E5" w:rsidP="00CB00E5">
      <w:pPr>
        <w:rPr>
          <w:lang w:val="en-US" w:eastAsia="ja-JP"/>
        </w:rPr>
      </w:pPr>
    </w:p>
    <w:p w14:paraId="10524074" w14:textId="77777777" w:rsidR="00CB00E5" w:rsidRDefault="00CB00E5" w:rsidP="00CB00E5">
      <w:pPr>
        <w:rPr>
          <w:b/>
          <w:i/>
          <w:lang w:val="en-US" w:eastAsia="ja-JP"/>
        </w:rPr>
      </w:pPr>
      <w:r w:rsidRPr="00546B8D">
        <w:rPr>
          <w:rFonts w:hint="eastAsia"/>
          <w:b/>
          <w:i/>
          <w:lang w:val="en-US" w:eastAsia="ja-JP"/>
        </w:rPr>
        <w:lastRenderedPageBreak/>
        <w:t xml:space="preserve">Proposal: </w:t>
      </w:r>
      <w:r>
        <w:rPr>
          <w:rFonts w:hint="eastAsia"/>
          <w:b/>
          <w:i/>
          <w:lang w:val="en-US" w:eastAsia="ja-JP"/>
        </w:rPr>
        <w:t>To agree on a text proposal which refers to the possible implementation stated in Observation 3.</w:t>
      </w:r>
    </w:p>
    <w:p w14:paraId="16C5AF7F" w14:textId="77777777" w:rsidR="00D34888" w:rsidRPr="00CB00E5" w:rsidRDefault="00D34888" w:rsidP="00D34888">
      <w:pPr>
        <w:rPr>
          <w:lang w:val="en-US" w:eastAsia="ja-JP"/>
        </w:rPr>
      </w:pPr>
    </w:p>
    <w:p w14:paraId="2C6BB091" w14:textId="3A0256C0" w:rsidR="00EC40C5" w:rsidRPr="0008109E" w:rsidRDefault="008961EC" w:rsidP="009E27F6">
      <w:pPr>
        <w:rPr>
          <w:lang w:val="en-US" w:eastAsia="ja-JP"/>
        </w:rPr>
      </w:pPr>
      <w:r>
        <w:rPr>
          <w:rFonts w:hint="eastAsia"/>
          <w:lang w:val="en-US" w:eastAsia="ja-JP"/>
        </w:rPr>
        <w:t xml:space="preserve">Corresponding TP for </w:t>
      </w:r>
      <w:r w:rsidR="005C44B6">
        <w:rPr>
          <w:rFonts w:hint="eastAsia"/>
          <w:lang w:val="en-US" w:eastAsia="ja-JP"/>
        </w:rPr>
        <w:t>BL CR</w:t>
      </w:r>
      <w:r w:rsidR="00C17220" w:rsidRPr="00C17220">
        <w:rPr>
          <w:rFonts w:hint="eastAsia"/>
          <w:lang w:val="en-US" w:eastAsia="ja-JP"/>
        </w:rPr>
        <w:t xml:space="preserve"> </w:t>
      </w:r>
      <w:r w:rsidR="00C17220">
        <w:rPr>
          <w:rFonts w:hint="eastAsia"/>
          <w:lang w:val="en-US" w:eastAsia="ja-JP"/>
        </w:rPr>
        <w:t xml:space="preserve">TS38.425 [4] is </w:t>
      </w:r>
      <w:r w:rsidR="00C17220">
        <w:rPr>
          <w:lang w:val="en-US" w:eastAsia="ja-JP"/>
        </w:rPr>
        <w:t>attached</w:t>
      </w:r>
      <w:r w:rsidR="00C17220">
        <w:rPr>
          <w:rFonts w:hint="eastAsia"/>
          <w:lang w:val="en-US" w:eastAsia="ja-JP"/>
        </w:rPr>
        <w:t xml:space="preserve"> in annex.</w:t>
      </w:r>
    </w:p>
    <w:p w14:paraId="0FDCFAC2" w14:textId="77777777" w:rsidR="00CD4C7B" w:rsidRPr="006E13D1" w:rsidRDefault="00CD4C7B" w:rsidP="00CD4C7B">
      <w:pPr>
        <w:pStyle w:val="1"/>
      </w:pPr>
      <w:r w:rsidRPr="006E13D1">
        <w:t>References</w:t>
      </w:r>
    </w:p>
    <w:p w14:paraId="3A25E8FD" w14:textId="77777777" w:rsidR="00C17220" w:rsidRDefault="00C17220" w:rsidP="00C17220">
      <w:pPr>
        <w:numPr>
          <w:ilvl w:val="0"/>
          <w:numId w:val="4"/>
        </w:numPr>
        <w:overflowPunct w:val="0"/>
        <w:autoSpaceDE w:val="0"/>
        <w:autoSpaceDN w:val="0"/>
        <w:adjustRightInd w:val="0"/>
        <w:textAlignment w:val="baseline"/>
      </w:pPr>
      <w:r w:rsidRPr="00746C4F">
        <w:t>R3-17</w:t>
      </w:r>
      <w:r>
        <w:rPr>
          <w:rFonts w:hint="eastAsia"/>
          <w:lang w:eastAsia="ja-JP"/>
        </w:rPr>
        <w:t xml:space="preserve">3315, </w:t>
      </w:r>
      <w:r>
        <w:rPr>
          <w:lang w:eastAsia="ja-JP"/>
        </w:rPr>
        <w:t>“</w:t>
      </w:r>
      <w:r w:rsidRPr="00EB6C6F">
        <w:rPr>
          <w:lang w:eastAsia="ja-JP"/>
        </w:rPr>
        <w:t>Flow control: Further consideration on potential issues and possible enhancements</w:t>
      </w:r>
      <w:r>
        <w:rPr>
          <w:lang w:eastAsia="ja-JP"/>
        </w:rPr>
        <w:t>”</w:t>
      </w:r>
      <w:r>
        <w:rPr>
          <w:rFonts w:hint="eastAsia"/>
          <w:lang w:eastAsia="ja-JP"/>
        </w:rPr>
        <w:t xml:space="preserve">, </w:t>
      </w:r>
      <w:r w:rsidRPr="0042085F">
        <w:rPr>
          <w:lang w:eastAsia="ja-JP"/>
        </w:rPr>
        <w:t>NTT DOCOMO, INC.</w:t>
      </w:r>
    </w:p>
    <w:p w14:paraId="0FF2486D" w14:textId="4BE812FB" w:rsidR="00C17220" w:rsidRDefault="00C17220" w:rsidP="00C17220">
      <w:pPr>
        <w:numPr>
          <w:ilvl w:val="0"/>
          <w:numId w:val="4"/>
        </w:numPr>
        <w:overflowPunct w:val="0"/>
        <w:autoSpaceDE w:val="0"/>
        <w:autoSpaceDN w:val="0"/>
        <w:adjustRightInd w:val="0"/>
        <w:textAlignment w:val="baseline"/>
      </w:pPr>
      <w:r>
        <w:rPr>
          <w:rFonts w:hint="eastAsia"/>
          <w:lang w:eastAsia="ja-JP"/>
        </w:rPr>
        <w:t xml:space="preserve">R3-174095, </w:t>
      </w:r>
      <w:r>
        <w:rPr>
          <w:lang w:eastAsia="ja-JP"/>
        </w:rPr>
        <w:t>“</w:t>
      </w:r>
      <w:r w:rsidRPr="00C17220">
        <w:rPr>
          <w:lang w:eastAsia="ja-JP"/>
        </w:rPr>
        <w:t>Response to R3-173956</w:t>
      </w:r>
      <w:r>
        <w:rPr>
          <w:lang w:eastAsia="ja-JP"/>
        </w:rPr>
        <w:t>”</w:t>
      </w:r>
      <w:r>
        <w:rPr>
          <w:rFonts w:hint="eastAsia"/>
          <w:lang w:eastAsia="ja-JP"/>
        </w:rPr>
        <w:t>, NTT DOCOMO, INC</w:t>
      </w:r>
    </w:p>
    <w:p w14:paraId="245F18A4" w14:textId="77777777" w:rsidR="00C17220" w:rsidRDefault="00C17220" w:rsidP="00C17220">
      <w:pPr>
        <w:numPr>
          <w:ilvl w:val="0"/>
          <w:numId w:val="4"/>
        </w:numPr>
        <w:overflowPunct w:val="0"/>
        <w:autoSpaceDE w:val="0"/>
        <w:autoSpaceDN w:val="0"/>
        <w:adjustRightInd w:val="0"/>
        <w:textAlignment w:val="baseline"/>
      </w:pPr>
      <w:r>
        <w:rPr>
          <w:rFonts w:hint="eastAsia"/>
          <w:lang w:eastAsia="ja-JP"/>
        </w:rPr>
        <w:t>R3-174222,</w:t>
      </w:r>
      <w:r>
        <w:rPr>
          <w:lang w:eastAsia="ja-JP"/>
        </w:rPr>
        <w:t xml:space="preserve"> “</w:t>
      </w:r>
      <w:r w:rsidRPr="00D239F6">
        <w:rPr>
          <w:lang w:eastAsia="ja-JP"/>
        </w:rPr>
        <w:t>Implementation of the UP enhancements</w:t>
      </w:r>
      <w:r>
        <w:rPr>
          <w:lang w:eastAsia="ja-JP"/>
        </w:rPr>
        <w:t>”</w:t>
      </w:r>
      <w:r>
        <w:rPr>
          <w:rFonts w:hint="eastAsia"/>
          <w:lang w:eastAsia="ja-JP"/>
        </w:rPr>
        <w:t>,</w:t>
      </w:r>
      <w:r w:rsidRPr="00D239F6">
        <w:t xml:space="preserve"> </w:t>
      </w:r>
      <w:r w:rsidRPr="00D239F6">
        <w:rPr>
          <w:lang w:eastAsia="ja-JP"/>
        </w:rPr>
        <w:t>Nokia, Nokia Shanghai Bell, Ericsson</w:t>
      </w:r>
    </w:p>
    <w:p w14:paraId="5BEA62ED" w14:textId="21CA7ED3" w:rsidR="00C17220" w:rsidRDefault="00404105" w:rsidP="00C17220">
      <w:pPr>
        <w:numPr>
          <w:ilvl w:val="0"/>
          <w:numId w:val="4"/>
        </w:numPr>
        <w:overflowPunct w:val="0"/>
        <w:autoSpaceDE w:val="0"/>
        <w:autoSpaceDN w:val="0"/>
        <w:adjustRightInd w:val="0"/>
        <w:textAlignment w:val="baseline"/>
      </w:pPr>
      <w:r w:rsidRPr="00746C4F">
        <w:t>R3-17</w:t>
      </w:r>
      <w:r>
        <w:rPr>
          <w:rFonts w:hint="eastAsia"/>
          <w:lang w:eastAsia="ja-JP"/>
        </w:rPr>
        <w:t xml:space="preserve">4762, </w:t>
      </w:r>
      <w:r>
        <w:rPr>
          <w:lang w:eastAsia="ja-JP"/>
        </w:rPr>
        <w:t>“</w:t>
      </w:r>
      <w:r w:rsidRPr="00437FCF">
        <w:rPr>
          <w:lang w:eastAsia="ja-JP"/>
        </w:rPr>
        <w:t>draft TS 38.425 version 0.2.1: 5G user plane protocol</w:t>
      </w:r>
      <w:r>
        <w:rPr>
          <w:lang w:eastAsia="ja-JP"/>
        </w:rPr>
        <w:t>”</w:t>
      </w:r>
      <w:r>
        <w:rPr>
          <w:rFonts w:hint="eastAsia"/>
          <w:lang w:eastAsia="ja-JP"/>
        </w:rPr>
        <w:t xml:space="preserve">, </w:t>
      </w:r>
      <w:r w:rsidRPr="00437FCF">
        <w:rPr>
          <w:lang w:eastAsia="ja-JP"/>
        </w:rPr>
        <w:t>Ericsson, Vodafone, Qualcomm Incorporated, Interdigital, NTT DOCOMO, Nokia</w:t>
      </w:r>
    </w:p>
    <w:p w14:paraId="467CE7F8" w14:textId="15DF5628" w:rsidR="001C6B9C" w:rsidRPr="006E13D1" w:rsidRDefault="001C6B9C" w:rsidP="001C6B9C">
      <w:pPr>
        <w:pStyle w:val="1"/>
        <w:rPr>
          <w:lang w:eastAsia="ja-JP"/>
        </w:rPr>
      </w:pPr>
      <w:r>
        <w:rPr>
          <w:rFonts w:hint="eastAsia"/>
          <w:lang w:eastAsia="ja-JP"/>
        </w:rPr>
        <w:t xml:space="preserve">Annex </w:t>
      </w:r>
      <w:r w:rsidR="00F33FAF">
        <w:rPr>
          <w:lang w:eastAsia="ja-JP"/>
        </w:rPr>
        <w:t xml:space="preserve">TP for BL CR of  </w:t>
      </w:r>
      <w:r w:rsidR="005C44B6" w:rsidRPr="005C44B6">
        <w:rPr>
          <w:lang w:eastAsia="ja-JP"/>
        </w:rPr>
        <w:t>TS3</w:t>
      </w:r>
      <w:r w:rsidR="00C17220">
        <w:rPr>
          <w:rFonts w:hint="eastAsia"/>
          <w:lang w:eastAsia="ja-JP"/>
        </w:rPr>
        <w:t>8</w:t>
      </w:r>
      <w:r w:rsidR="005C44B6" w:rsidRPr="005C44B6">
        <w:rPr>
          <w:lang w:eastAsia="ja-JP"/>
        </w:rPr>
        <w:t>.425</w:t>
      </w:r>
    </w:p>
    <w:p w14:paraId="038D77B0" w14:textId="6535541B" w:rsidR="001D6CBF" w:rsidRDefault="001D6CBF" w:rsidP="0008109E">
      <w:pPr>
        <w:jc w:val="center"/>
        <w:rPr>
          <w:lang w:val="en-US" w:eastAsia="ja-JP"/>
        </w:rPr>
      </w:pPr>
      <w:r>
        <w:rPr>
          <w:rFonts w:hint="eastAsia"/>
          <w:lang w:val="en-US" w:eastAsia="ja-JP"/>
        </w:rPr>
        <w:t>----Unchanged sections are omitted---</w:t>
      </w:r>
    </w:p>
    <w:p w14:paraId="0F38A5A3" w14:textId="77777777" w:rsidR="00C17220" w:rsidRPr="00A63178" w:rsidRDefault="00C17220" w:rsidP="00C17220">
      <w:pPr>
        <w:pStyle w:val="3"/>
      </w:pPr>
      <w:bookmarkStart w:id="3" w:name="_Toc496876051"/>
      <w:r w:rsidRPr="00A63178">
        <w:t>5.4.</w:t>
      </w:r>
      <w:r>
        <w:t>2</w:t>
      </w:r>
      <w:r w:rsidRPr="00A63178">
        <w:tab/>
      </w:r>
      <w:r w:rsidRPr="004F741F">
        <w:t>Downlink Data Delivery Status</w:t>
      </w:r>
      <w:bookmarkEnd w:id="3"/>
    </w:p>
    <w:p w14:paraId="0B372121" w14:textId="77777777" w:rsidR="00C17220" w:rsidRPr="00A63178" w:rsidRDefault="00C17220" w:rsidP="00C17220">
      <w:pPr>
        <w:pStyle w:val="4"/>
      </w:pPr>
      <w:bookmarkStart w:id="4" w:name="_Toc496876052"/>
      <w:r w:rsidRPr="00A63178">
        <w:t>5.4.</w:t>
      </w:r>
      <w:r>
        <w:t>2</w:t>
      </w:r>
      <w:r w:rsidRPr="00A63178">
        <w:t>.1</w:t>
      </w:r>
      <w:r w:rsidRPr="00A63178">
        <w:tab/>
        <w:t>Successful operation</w:t>
      </w:r>
      <w:bookmarkEnd w:id="4"/>
    </w:p>
    <w:p w14:paraId="5CFEAA54" w14:textId="77777777" w:rsidR="00C17220" w:rsidRPr="00C67B9A" w:rsidRDefault="00C17220" w:rsidP="00C17220">
      <w:pPr>
        <w:rPr>
          <w:lang w:eastAsia="zh-CN"/>
        </w:rPr>
      </w:pPr>
      <w:r w:rsidRPr="0011292B">
        <w:rPr>
          <w:highlight w:val="yellow"/>
        </w:rPr>
        <w:t xml:space="preserve">Editor’s Note: </w:t>
      </w:r>
      <w:r>
        <w:rPr>
          <w:highlight w:val="yellow"/>
        </w:rPr>
        <w:t>All t</w:t>
      </w:r>
      <w:r w:rsidRPr="0011292B">
        <w:rPr>
          <w:highlight w:val="yellow"/>
        </w:rPr>
        <w:t>he text below is FFS.</w:t>
      </w:r>
    </w:p>
    <w:p w14:paraId="30D95353" w14:textId="77777777" w:rsidR="00C17220" w:rsidRPr="00A63178" w:rsidRDefault="00C17220" w:rsidP="00C17220">
      <w:r w:rsidRPr="00A63178">
        <w:t xml:space="preserve">The purpose of the Downlink Data Delivery Status procedure is to provide feedback from the </w:t>
      </w:r>
      <w:r>
        <w:t>corresponding node</w:t>
      </w:r>
      <w:r w:rsidRPr="00A63178">
        <w:t xml:space="preserve"> to the </w:t>
      </w:r>
      <w:r>
        <w:t>node hosting the NR PDCP entity</w:t>
      </w:r>
      <w:r w:rsidRPr="00A63178">
        <w:t xml:space="preserve"> to allow the </w:t>
      </w:r>
      <w:r>
        <w:t xml:space="preserve">node hosting the NR PDCP entity </w:t>
      </w:r>
      <w:r w:rsidRPr="00A63178">
        <w:t xml:space="preserve">to control the downlink user data flow via the </w:t>
      </w:r>
      <w:r>
        <w:t>corresponding node</w:t>
      </w:r>
      <w:r w:rsidRPr="00A63178">
        <w:t xml:space="preserve"> for the respective </w:t>
      </w:r>
      <w:r>
        <w:t>data bearer</w:t>
      </w:r>
      <w:r w:rsidRPr="00A63178">
        <w:t xml:space="preserve">. The </w:t>
      </w:r>
      <w:r>
        <w:t>corresponding node</w:t>
      </w:r>
      <w:r w:rsidRPr="00A63178">
        <w:t xml:space="preserve"> may also transfer uplink user data for the concerned </w:t>
      </w:r>
      <w:r>
        <w:t>data bearer</w:t>
      </w:r>
      <w:r w:rsidRPr="00A63178">
        <w:t xml:space="preserve"> to the </w:t>
      </w:r>
      <w:r>
        <w:t>node hosting the NR PDCP entity</w:t>
      </w:r>
      <w:r w:rsidRPr="00A63178">
        <w:t xml:space="preserve"> together with a DL DATA DELIVERY STATUS frame within the same GTP-U PDU.</w:t>
      </w:r>
    </w:p>
    <w:p w14:paraId="1C5E65D4" w14:textId="77777777" w:rsidR="00C17220" w:rsidRPr="00A63178" w:rsidRDefault="00C17220" w:rsidP="00C17220">
      <w:r w:rsidRPr="00A63178">
        <w:t xml:space="preserve">The Downlink Data Delivery Status procedure is </w:t>
      </w:r>
      <w:r>
        <w:t xml:space="preserve">also used </w:t>
      </w:r>
      <w:r w:rsidRPr="00A63178">
        <w:t xml:space="preserve">to provide feedback from the </w:t>
      </w:r>
      <w:r>
        <w:t>corresponding node</w:t>
      </w:r>
      <w:r w:rsidRPr="00A63178">
        <w:t xml:space="preserve"> to the </w:t>
      </w:r>
      <w:r>
        <w:t>node hosting the NR PDCP entity</w:t>
      </w:r>
      <w:r w:rsidRPr="00A63178">
        <w:t xml:space="preserve"> to allow the </w:t>
      </w:r>
      <w:r>
        <w:t>node hosting the NR PDCP entity</w:t>
      </w:r>
      <w:r w:rsidRPr="00A63178">
        <w:t xml:space="preserve"> to control the</w:t>
      </w:r>
      <w:r>
        <w:t xml:space="preserve"> successful delivery of DL control data to the corresponding node.</w:t>
      </w:r>
    </w:p>
    <w:p w14:paraId="6C754536" w14:textId="77777777" w:rsidR="00C17220" w:rsidRPr="00A63178" w:rsidRDefault="00C17220" w:rsidP="00C17220">
      <w:r w:rsidRPr="00A63178">
        <w:t xml:space="preserve">When the </w:t>
      </w:r>
      <w:r>
        <w:t>corresponding node</w:t>
      </w:r>
      <w:r w:rsidRPr="00A63178">
        <w:t xml:space="preserve"> decides to trigger the Feedback for Downlink Data Delivery procedure it shall report:</w:t>
      </w:r>
    </w:p>
    <w:p w14:paraId="69ED2898" w14:textId="77777777" w:rsidR="00C17220" w:rsidRPr="00A63178" w:rsidRDefault="00C17220" w:rsidP="00C17220">
      <w:pPr>
        <w:pStyle w:val="B1"/>
      </w:pPr>
      <w:r w:rsidRPr="00A63178">
        <w:t>a)</w:t>
      </w:r>
      <w:r w:rsidRPr="00A63178">
        <w:tab/>
      </w:r>
      <w:r>
        <w:t xml:space="preserve">in case of RLC AM, </w:t>
      </w:r>
      <w:r w:rsidRPr="00A63178">
        <w:t xml:space="preserve">the highest </w:t>
      </w:r>
      <w:r>
        <w:t xml:space="preserve">NR </w:t>
      </w:r>
      <w:r w:rsidRPr="00A63178">
        <w:t xml:space="preserve">PDCP PDU sequence number successfully delivered in sequence to the UE among those </w:t>
      </w:r>
      <w:r>
        <w:t xml:space="preserve">NR </w:t>
      </w:r>
      <w:r w:rsidRPr="00A63178">
        <w:t xml:space="preserve">PDCP PDUs received from the </w:t>
      </w:r>
      <w:r>
        <w:t>node hosting the NR PDCP entity</w:t>
      </w:r>
      <w:r w:rsidRPr="00A63178">
        <w:t>;</w:t>
      </w:r>
    </w:p>
    <w:p w14:paraId="4A3B3259" w14:textId="77777777" w:rsidR="00C17220" w:rsidRPr="00A63178" w:rsidRDefault="00C17220" w:rsidP="00C17220">
      <w:pPr>
        <w:pStyle w:val="B1"/>
      </w:pPr>
      <w:r w:rsidRPr="00A63178">
        <w:t>b)</w:t>
      </w:r>
      <w:r w:rsidRPr="00A63178">
        <w:tab/>
        <w:t xml:space="preserve">the desired buffer size in bytes for the concerned </w:t>
      </w:r>
      <w:r>
        <w:t>data bearer</w:t>
      </w:r>
      <w:r w:rsidRPr="00A63178">
        <w:t>;</w:t>
      </w:r>
    </w:p>
    <w:p w14:paraId="5C076615" w14:textId="77777777" w:rsidR="00C17220" w:rsidRPr="00A63178" w:rsidRDefault="00C17220" w:rsidP="00C17220">
      <w:pPr>
        <w:pStyle w:val="B1"/>
      </w:pPr>
      <w:r w:rsidRPr="00A63178">
        <w:t>c)</w:t>
      </w:r>
      <w:r w:rsidRPr="00A63178">
        <w:tab/>
        <w:t xml:space="preserve">the minimum desired buffer size in bytes </w:t>
      </w:r>
      <w:r>
        <w:t>as specified in section 5.2</w:t>
      </w:r>
      <w:r w:rsidRPr="00A63178">
        <w:t>;</w:t>
      </w:r>
    </w:p>
    <w:p w14:paraId="22E42718" w14:textId="17E47575" w:rsidR="00C17220" w:rsidRDefault="00C17220" w:rsidP="00C17220">
      <w:pPr>
        <w:pStyle w:val="B1"/>
      </w:pPr>
      <w:r w:rsidRPr="00A63178">
        <w:t>d)</w:t>
      </w:r>
      <w:r w:rsidRPr="00A63178">
        <w:tab/>
        <w:t xml:space="preserve">the </w:t>
      </w:r>
      <w:r w:rsidR="00404105">
        <w:t>NR</w:t>
      </w:r>
      <w:r w:rsidRPr="00A63178">
        <w:t xml:space="preserve">-U packets that were declared as being "lost" by the </w:t>
      </w:r>
      <w:r>
        <w:t>corresponding node</w:t>
      </w:r>
      <w:r w:rsidRPr="00A63178">
        <w:t xml:space="preserve"> and have not yet been reported to the </w:t>
      </w:r>
      <w:r>
        <w:t>node hosting the NR PDCP entity</w:t>
      </w:r>
      <w:r w:rsidRPr="00A63178">
        <w:t xml:space="preserve"> within the DL DATA DELIVERY STATUS frame</w:t>
      </w:r>
      <w:r>
        <w:t>;</w:t>
      </w:r>
    </w:p>
    <w:p w14:paraId="25BC9A0A" w14:textId="77777777" w:rsidR="00C17220" w:rsidRPr="00A63178" w:rsidRDefault="00C17220" w:rsidP="00C17220">
      <w:pPr>
        <w:pStyle w:val="B1"/>
      </w:pPr>
      <w:r>
        <w:t>e</w:t>
      </w:r>
      <w:r w:rsidRPr="00A63178">
        <w:t>)</w:t>
      </w:r>
      <w:r w:rsidRPr="00A63178">
        <w:tab/>
        <w:t xml:space="preserve">the highest </w:t>
      </w:r>
      <w:r>
        <w:t xml:space="preserve">NR </w:t>
      </w:r>
      <w:r w:rsidRPr="00A63178">
        <w:t xml:space="preserve">PDCP PDU sequence number </w:t>
      </w:r>
      <w:r>
        <w:t xml:space="preserve">transmitted to the lower layers </w:t>
      </w:r>
      <w:r w:rsidRPr="00DD0F37">
        <w:t xml:space="preserve">among those </w:t>
      </w:r>
      <w:r>
        <w:t xml:space="preserve">NR </w:t>
      </w:r>
      <w:r w:rsidRPr="00DD0F37">
        <w:t xml:space="preserve">PDCP PDUs received from the </w:t>
      </w:r>
      <w:r>
        <w:t>node</w:t>
      </w:r>
      <w:r w:rsidRPr="00DD0F37">
        <w:t xml:space="preserve"> hosting the </w:t>
      </w:r>
      <w:r>
        <w:t xml:space="preserve">NR </w:t>
      </w:r>
      <w:r w:rsidRPr="00DD0F37">
        <w:t>PDCP entity</w:t>
      </w:r>
      <w:r>
        <w:t>.</w:t>
      </w:r>
    </w:p>
    <w:p w14:paraId="4F6E2EB3" w14:textId="77777777" w:rsidR="00C17220" w:rsidRPr="00A63178" w:rsidRDefault="00C17220" w:rsidP="00C17220">
      <w:pPr>
        <w:pStyle w:val="NO"/>
        <w:rPr>
          <w:rFonts w:eastAsia="ＭＳ 明朝"/>
          <w:lang w:eastAsia="ja-JP"/>
        </w:rPr>
      </w:pPr>
      <w:r w:rsidRPr="00A63178">
        <w:t>NOTE:</w:t>
      </w:r>
      <w:r w:rsidRPr="00A63178">
        <w:tab/>
        <w:t>If a deployment has decided not to use the Transfer of Downlink User Data procedure, d) above is not applicable.</w:t>
      </w:r>
    </w:p>
    <w:p w14:paraId="5102644A" w14:textId="77777777" w:rsidR="00C17220" w:rsidRPr="00A63178" w:rsidRDefault="00C17220" w:rsidP="00C17220">
      <w:r w:rsidRPr="00A63178">
        <w:t xml:space="preserve">The DL DATA DELIVERY STATUS frame shall also include an indication whether the frame is the last DL status report received in the course of releasing a bearer from the </w:t>
      </w:r>
      <w:r>
        <w:t>corresponding node</w:t>
      </w:r>
      <w:r w:rsidRPr="00A63178">
        <w:t xml:space="preserve">. When receiving such indication, if applicable, the </w:t>
      </w:r>
      <w:r>
        <w:t>node hosting the NR PDCP entity</w:t>
      </w:r>
      <w:r w:rsidRPr="00A63178">
        <w:t xml:space="preserve"> considers that no more UL data is to be expected from the </w:t>
      </w:r>
      <w:r>
        <w:t>corresponding node</w:t>
      </w:r>
      <w:r w:rsidRPr="00A63178">
        <w:t>.</w:t>
      </w:r>
    </w:p>
    <w:p w14:paraId="63CE4DDC" w14:textId="77777777" w:rsidR="00C17220" w:rsidRPr="00A63178" w:rsidRDefault="00C17220" w:rsidP="00C17220">
      <w:pPr>
        <w:rPr>
          <w:rFonts w:eastAsia="ＭＳ 明朝"/>
          <w:lang w:eastAsia="ja-JP"/>
        </w:rPr>
      </w:pPr>
      <w:r w:rsidRPr="00A63178">
        <w:rPr>
          <w:rFonts w:eastAsia="ＭＳ 明朝"/>
          <w:lang w:eastAsia="ja-JP"/>
        </w:rPr>
        <w:t>The</w:t>
      </w:r>
      <w:r w:rsidRPr="00A63178">
        <w:t xml:space="preserve"> DL DATA DELIVERY STATUS frame </w:t>
      </w:r>
      <w:r>
        <w:t>may</w:t>
      </w:r>
      <w:r w:rsidRPr="00A63178">
        <w:t xml:space="preserve"> also include an indication</w:t>
      </w:r>
      <w:r>
        <w:t xml:space="preserve"> of detected radio link outage or radio link resume.</w:t>
      </w:r>
      <w:r w:rsidRPr="00A63178">
        <w:t xml:space="preserve"> When receiving </w:t>
      </w:r>
      <w:r>
        <w:t>an indication of radio link outage detection</w:t>
      </w:r>
      <w:r w:rsidRPr="00A63178">
        <w:t xml:space="preserve">, </w:t>
      </w:r>
      <w:r w:rsidRPr="00A63178">
        <w:rPr>
          <w:rFonts w:eastAsia="ＭＳ 明朝"/>
          <w:lang w:eastAsia="ja-JP"/>
        </w:rPr>
        <w:t xml:space="preserve">the </w:t>
      </w:r>
      <w:r>
        <w:rPr>
          <w:rFonts w:eastAsia="ＭＳ 明朝"/>
          <w:lang w:eastAsia="ja-JP"/>
        </w:rPr>
        <w:t>node hosting the NR PDCP entity</w:t>
      </w:r>
      <w:r w:rsidRPr="00A63178">
        <w:rPr>
          <w:rFonts w:eastAsia="ＭＳ 明朝"/>
          <w:lang w:eastAsia="ja-JP"/>
        </w:rPr>
        <w:t xml:space="preserve"> considers </w:t>
      </w:r>
      <w:r w:rsidRPr="00A63178">
        <w:rPr>
          <w:rFonts w:eastAsia="ＭＳ 明朝"/>
          <w:lang w:eastAsia="ja-JP"/>
        </w:rPr>
        <w:lastRenderedPageBreak/>
        <w:t xml:space="preserve">that </w:t>
      </w:r>
      <w:r>
        <w:rPr>
          <w:rFonts w:eastAsia="ＭＳ 明朝"/>
          <w:lang w:eastAsia="ja-JP"/>
        </w:rPr>
        <w:t xml:space="preserve">traffic delivery over DRBs configured for the UE is unavailable at the corresponding node. </w:t>
      </w:r>
      <w:r w:rsidRPr="00A63178">
        <w:t xml:space="preserve">When receiving </w:t>
      </w:r>
      <w:r>
        <w:t>an indication of radio link resume detection</w:t>
      </w:r>
      <w:r w:rsidRPr="00A63178">
        <w:t xml:space="preserve">, </w:t>
      </w:r>
      <w:r w:rsidRPr="00A63178">
        <w:rPr>
          <w:rFonts w:eastAsia="ＭＳ 明朝"/>
          <w:lang w:eastAsia="ja-JP"/>
        </w:rPr>
        <w:t xml:space="preserve">the </w:t>
      </w:r>
      <w:r>
        <w:rPr>
          <w:rFonts w:eastAsia="ＭＳ 明朝"/>
          <w:lang w:eastAsia="ja-JP"/>
        </w:rPr>
        <w:t>node hosting the NR PDCP entity</w:t>
      </w:r>
      <w:r w:rsidRPr="00A63178">
        <w:rPr>
          <w:rFonts w:eastAsia="ＭＳ 明朝"/>
          <w:lang w:eastAsia="ja-JP"/>
        </w:rPr>
        <w:t xml:space="preserve"> considers that </w:t>
      </w:r>
      <w:r>
        <w:rPr>
          <w:rFonts w:eastAsia="ＭＳ 明朝"/>
          <w:lang w:eastAsia="ja-JP"/>
        </w:rPr>
        <w:t>traffic delivery over DRBs configured for the UE is available at the corresponding node.</w:t>
      </w:r>
    </w:p>
    <w:p w14:paraId="7C8DEF19" w14:textId="77777777" w:rsidR="00C17220" w:rsidRPr="00A63178" w:rsidRDefault="00C17220" w:rsidP="00C17220">
      <w:r w:rsidRPr="00A63178">
        <w:t xml:space="preserve">The </w:t>
      </w:r>
      <w:r>
        <w:t>node hosting the NR PDCP entity</w:t>
      </w:r>
      <w:r w:rsidRPr="00A63178">
        <w:t>, when receiving the DL DATA DELIVERY STATUS frame:</w:t>
      </w:r>
    </w:p>
    <w:p w14:paraId="6C1A8DC9" w14:textId="77777777" w:rsidR="00C17220" w:rsidRPr="00A63178" w:rsidRDefault="00C17220" w:rsidP="00C17220">
      <w:pPr>
        <w:pStyle w:val="B1"/>
        <w:rPr>
          <w:rFonts w:eastAsia="ＭＳ 明朝"/>
          <w:lang w:eastAsia="ja-JP"/>
        </w:rPr>
      </w:pPr>
      <w:r w:rsidRPr="00A63178">
        <w:t>-</w:t>
      </w:r>
      <w:r w:rsidRPr="00A63178">
        <w:tab/>
      </w:r>
      <w:r w:rsidRPr="00A63178">
        <w:rPr>
          <w:rFonts w:eastAsia="ＭＳ 明朝"/>
          <w:lang w:eastAsia="ja-JP"/>
        </w:rPr>
        <w:t xml:space="preserve">regards the desired buffer size under b) and c) above as the amount of data desired from the </w:t>
      </w:r>
      <w:r>
        <w:rPr>
          <w:rFonts w:eastAsia="ＭＳ 明朝"/>
          <w:lang w:eastAsia="ja-JP"/>
        </w:rPr>
        <w:t>corresponding node</w:t>
      </w:r>
      <w:r w:rsidRPr="00A63178">
        <w:rPr>
          <w:rFonts w:eastAsia="ＭＳ 明朝"/>
          <w:lang w:eastAsia="ja-JP"/>
        </w:rPr>
        <w:t xml:space="preserve"> being declared</w:t>
      </w:r>
    </w:p>
    <w:p w14:paraId="51BE5406" w14:textId="77777777" w:rsidR="00C17220" w:rsidRPr="00A63178" w:rsidRDefault="00C17220" w:rsidP="00C17220">
      <w:pPr>
        <w:pStyle w:val="B2"/>
        <w:rPr>
          <w:rFonts w:eastAsia="ＭＳ 明朝"/>
          <w:lang w:eastAsia="ja-JP"/>
        </w:rPr>
      </w:pPr>
      <w:r w:rsidRPr="00A63178">
        <w:t>-</w:t>
      </w:r>
      <w:r w:rsidRPr="00A63178">
        <w:tab/>
      </w:r>
      <w:r w:rsidRPr="00A63178">
        <w:rPr>
          <w:rFonts w:eastAsia="ＭＳ 明朝"/>
          <w:lang w:eastAsia="ja-JP"/>
        </w:rPr>
        <w:t xml:space="preserve">from the </w:t>
      </w:r>
      <w:r>
        <w:rPr>
          <w:rFonts w:eastAsia="ＭＳ 明朝"/>
          <w:lang w:eastAsia="ja-JP"/>
        </w:rPr>
        <w:t xml:space="preserve">NR </w:t>
      </w:r>
      <w:r w:rsidRPr="00A63178">
        <w:rPr>
          <w:rFonts w:eastAsia="ＭＳ 明朝"/>
          <w:lang w:eastAsia="ja-JP"/>
        </w:rPr>
        <w:t xml:space="preserve">PDCP sequence number reported under a) above within the same frame, as well as from the most recently reported </w:t>
      </w:r>
      <w:r>
        <w:rPr>
          <w:rFonts w:eastAsia="ＭＳ 明朝"/>
          <w:lang w:eastAsia="ja-JP"/>
        </w:rPr>
        <w:t xml:space="preserve">NR </w:t>
      </w:r>
      <w:r w:rsidRPr="00A63178">
        <w:rPr>
          <w:rFonts w:eastAsia="ＭＳ 明朝"/>
          <w:lang w:eastAsia="ja-JP"/>
        </w:rPr>
        <w:t xml:space="preserve">PDCP sequence number(s) of all other </w:t>
      </w:r>
      <w:r>
        <w:rPr>
          <w:rFonts w:eastAsia="ＭＳ 明朝"/>
          <w:lang w:eastAsia="ja-JP"/>
        </w:rPr>
        <w:t>data bearer</w:t>
      </w:r>
      <w:r w:rsidRPr="00A63178">
        <w:rPr>
          <w:rFonts w:eastAsia="ＭＳ 明朝"/>
          <w:lang w:eastAsia="ja-JP"/>
        </w:rPr>
        <w:t>s established for the UE;</w:t>
      </w:r>
    </w:p>
    <w:p w14:paraId="0DAA5BB3" w14:textId="77777777" w:rsidR="00C17220" w:rsidRDefault="00C17220" w:rsidP="00C17220">
      <w:pPr>
        <w:pStyle w:val="B2"/>
        <w:rPr>
          <w:rFonts w:eastAsia="ＭＳ 明朝"/>
          <w:lang w:eastAsia="ja-JP"/>
        </w:rPr>
      </w:pPr>
      <w:r w:rsidRPr="00A63178">
        <w:t>-</w:t>
      </w:r>
      <w:r w:rsidRPr="00A63178">
        <w:tab/>
      </w:r>
      <w:r w:rsidRPr="00A63178">
        <w:rPr>
          <w:rFonts w:eastAsia="ＭＳ 明朝"/>
          <w:lang w:eastAsia="ja-JP"/>
        </w:rPr>
        <w:t>as the momentary desired buffer sizes, independent of buffer sizes indicated in the past.</w:t>
      </w:r>
    </w:p>
    <w:p w14:paraId="11312B51" w14:textId="135FE990" w:rsidR="000B4161" w:rsidRPr="00A63178" w:rsidRDefault="000B4161" w:rsidP="000B4161">
      <w:pPr>
        <w:pStyle w:val="NO"/>
        <w:rPr>
          <w:ins w:id="5" w:author="作成者"/>
          <w:rFonts w:eastAsia="ＭＳ 明朝" w:hint="eastAsia"/>
          <w:lang w:eastAsia="ja-JP"/>
        </w:rPr>
      </w:pPr>
      <w:ins w:id="6" w:author="作成者">
        <w:r w:rsidRPr="00A63178">
          <w:t>NOTE:</w:t>
        </w:r>
        <w:r w:rsidRPr="00A63178">
          <w:tab/>
        </w:r>
        <w:r w:rsidRPr="00C17220">
          <w:t xml:space="preserve">In some implementations, the corresponding node may report the desired buffer size where </w:t>
        </w:r>
        <w:r>
          <w:rPr>
            <w:rFonts w:hint="eastAsia"/>
            <w:lang w:eastAsia="ja-JP"/>
          </w:rPr>
          <w:t xml:space="preserve">the desired buffer size corresponds </w:t>
        </w:r>
        <w:r>
          <w:rPr>
            <w:lang w:eastAsia="ja-JP"/>
          </w:rPr>
          <w:t>to the</w:t>
        </w:r>
        <w:r>
          <w:rPr>
            <w:rFonts w:hint="eastAsia"/>
            <w:lang w:eastAsia="ja-JP"/>
          </w:rPr>
          <w:t xml:space="preserve"> amount of data assumed to be transmitted over the Uu in given period of time.</w:t>
        </w:r>
      </w:ins>
    </w:p>
    <w:p w14:paraId="2D48F903" w14:textId="77777777" w:rsidR="00C17220" w:rsidRPr="000B4161" w:rsidRDefault="00C17220" w:rsidP="00C17220">
      <w:pPr>
        <w:pStyle w:val="B2"/>
      </w:pPr>
    </w:p>
    <w:p w14:paraId="5B8C9C9F" w14:textId="77777777" w:rsidR="00C17220" w:rsidRPr="00A63178" w:rsidRDefault="00C17220" w:rsidP="00C17220">
      <w:pPr>
        <w:pStyle w:val="B1"/>
      </w:pPr>
      <w:r w:rsidRPr="00A63178">
        <w:t>-</w:t>
      </w:r>
      <w:r w:rsidRPr="00A63178">
        <w:tab/>
        <w:t xml:space="preserve">is allowed to remove the buffered </w:t>
      </w:r>
      <w:r>
        <w:t xml:space="preserve">NR </w:t>
      </w:r>
      <w:r w:rsidRPr="00A63178">
        <w:t xml:space="preserve">PDCP PDUs according to the feedback of successfully delivered </w:t>
      </w:r>
      <w:r>
        <w:t xml:space="preserve">NR </w:t>
      </w:r>
      <w:r w:rsidRPr="00A63178">
        <w:t>PDCP PDUs;</w:t>
      </w:r>
    </w:p>
    <w:p w14:paraId="3C615B40" w14:textId="77777777" w:rsidR="00C17220" w:rsidRPr="00A63178" w:rsidRDefault="00C17220" w:rsidP="00C17220">
      <w:pPr>
        <w:pStyle w:val="B1"/>
      </w:pPr>
      <w:r w:rsidRPr="00A63178">
        <w:t>-</w:t>
      </w:r>
      <w:r w:rsidRPr="00A63178">
        <w:tab/>
        <w:t xml:space="preserve">decides upon the actions necessary to take for </w:t>
      </w:r>
      <w:r>
        <w:t xml:space="preserve">NR </w:t>
      </w:r>
      <w:r w:rsidRPr="00A63178">
        <w:t>PDCP PDUs reported other than successfully delivered.</w:t>
      </w:r>
    </w:p>
    <w:p w14:paraId="7DF677C5" w14:textId="77777777" w:rsidR="00C17220" w:rsidRPr="00A63178" w:rsidRDefault="00C17220" w:rsidP="00C17220">
      <w:r w:rsidRPr="00A63178">
        <w:t xml:space="preserve">After being reported to the </w:t>
      </w:r>
      <w:r>
        <w:t>node hosting the NR PDCP entity</w:t>
      </w:r>
      <w:r w:rsidRPr="00A63178">
        <w:t xml:space="preserve">, the </w:t>
      </w:r>
      <w:r>
        <w:t>corresponding node</w:t>
      </w:r>
      <w:r w:rsidRPr="00A63178">
        <w:t xml:space="preserve"> removes the respective </w:t>
      </w:r>
      <w:r>
        <w:t xml:space="preserve">NR </w:t>
      </w:r>
      <w:r w:rsidRPr="00A63178">
        <w:t>PDCP sequence numbers.</w:t>
      </w:r>
    </w:p>
    <w:p w14:paraId="735DB261" w14:textId="77777777" w:rsidR="00C17220" w:rsidRDefault="00C17220" w:rsidP="00C17220">
      <w:pPr>
        <w:pStyle w:val="TH"/>
      </w:pPr>
    </w:p>
    <w:p w14:paraId="6C913024" w14:textId="77777777" w:rsidR="00C17220" w:rsidRPr="00A63178" w:rsidRDefault="00C17220" w:rsidP="00C17220">
      <w:pPr>
        <w:pStyle w:val="TH"/>
      </w:pPr>
      <w:r>
        <w:object w:dxaOrig="4005" w:dyaOrig="1800" w14:anchorId="2FDEBE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pt;height:90pt" o:ole="">
            <v:imagedata r:id="rId12" o:title=""/>
          </v:shape>
          <o:OLEObject Type="Embed" ProgID="Visio.Drawing.11" ShapeID="_x0000_i1025" DrawAspect="Content" ObjectID="_1573434377" r:id="rId13"/>
        </w:object>
      </w:r>
    </w:p>
    <w:p w14:paraId="18F0CD7E" w14:textId="77777777" w:rsidR="00C17220" w:rsidRPr="00A63178" w:rsidRDefault="00C17220" w:rsidP="00C17220">
      <w:pPr>
        <w:pStyle w:val="TF"/>
      </w:pPr>
      <w:r w:rsidRPr="00A63178">
        <w:t xml:space="preserve">Figure </w:t>
      </w:r>
      <w:r>
        <w:t>5</w:t>
      </w:r>
      <w:r w:rsidRPr="00A63178">
        <w:t>.4.2.1-1: Successful Downlink Data Delivery Status</w:t>
      </w:r>
    </w:p>
    <w:p w14:paraId="69080A5A" w14:textId="77777777" w:rsidR="00C17220" w:rsidRPr="00A63178" w:rsidRDefault="00C17220" w:rsidP="00C17220">
      <w:pPr>
        <w:pStyle w:val="4"/>
      </w:pPr>
      <w:bookmarkStart w:id="7" w:name="_Toc496876053"/>
      <w:r w:rsidRPr="00A63178">
        <w:t>5.4.</w:t>
      </w:r>
      <w:r>
        <w:t>2</w:t>
      </w:r>
      <w:r w:rsidRPr="00A63178">
        <w:t>.2</w:t>
      </w:r>
      <w:r w:rsidRPr="00A63178">
        <w:tab/>
        <w:t>Unsuccessful operation</w:t>
      </w:r>
      <w:bookmarkEnd w:id="7"/>
    </w:p>
    <w:p w14:paraId="748205A5" w14:textId="77777777" w:rsidR="00C17220" w:rsidRPr="00A63178" w:rsidRDefault="00C17220" w:rsidP="00C17220">
      <w:r w:rsidRPr="004F741F">
        <w:t>Void</w:t>
      </w:r>
      <w:r>
        <w:t xml:space="preserve"> </w:t>
      </w:r>
      <w:r w:rsidRPr="00A63178">
        <w:t>.</w:t>
      </w:r>
    </w:p>
    <w:p w14:paraId="44FDF4E7" w14:textId="77777777" w:rsidR="006D5128" w:rsidRPr="006D5128" w:rsidRDefault="006D5128" w:rsidP="0008109E">
      <w:pPr>
        <w:jc w:val="center"/>
        <w:rPr>
          <w:lang w:eastAsia="ja-JP"/>
        </w:rPr>
      </w:pPr>
    </w:p>
    <w:p w14:paraId="73626CEE" w14:textId="77777777" w:rsidR="0008109E" w:rsidRDefault="0008109E" w:rsidP="0008109E">
      <w:pPr>
        <w:jc w:val="center"/>
        <w:rPr>
          <w:lang w:val="en-US" w:eastAsia="ja-JP"/>
        </w:rPr>
      </w:pPr>
      <w:r>
        <w:rPr>
          <w:rFonts w:hint="eastAsia"/>
          <w:lang w:val="en-US" w:eastAsia="ja-JP"/>
        </w:rPr>
        <w:t>-----Unchanged sections are omitted---</w:t>
      </w:r>
    </w:p>
    <w:p w14:paraId="5CCD2E7A" w14:textId="77777777" w:rsidR="001C6B9C" w:rsidRPr="0008109E" w:rsidRDefault="001C6B9C" w:rsidP="001C6B9C">
      <w:pPr>
        <w:overflowPunct w:val="0"/>
        <w:autoSpaceDE w:val="0"/>
        <w:autoSpaceDN w:val="0"/>
        <w:adjustRightInd w:val="0"/>
        <w:textAlignment w:val="baseline"/>
        <w:rPr>
          <w:lang w:val="en-US" w:eastAsia="ja-JP"/>
        </w:rPr>
      </w:pPr>
    </w:p>
    <w:sectPr w:rsidR="001C6B9C" w:rsidRPr="0008109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0213F3" w14:textId="77777777" w:rsidR="00B8074A" w:rsidRDefault="00B8074A">
      <w:r>
        <w:separator/>
      </w:r>
    </w:p>
  </w:endnote>
  <w:endnote w:type="continuationSeparator" w:id="0">
    <w:p w14:paraId="4036436E" w14:textId="77777777" w:rsidR="00B8074A" w:rsidRDefault="00B80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charset w:val="00"/>
    <w:family w:val="swiss"/>
    <w:pitch w:val="variable"/>
    <w:sig w:usb0="A00002EF" w:usb1="4000207B" w:usb2="00000000"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107A1C" w14:textId="77777777" w:rsidR="00B8074A" w:rsidRDefault="00B8074A">
      <w:r>
        <w:separator/>
      </w:r>
    </w:p>
  </w:footnote>
  <w:footnote w:type="continuationSeparator" w:id="0">
    <w:p w14:paraId="74247B6D" w14:textId="77777777" w:rsidR="00B8074A" w:rsidRDefault="00B807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0845E9"/>
    <w:multiLevelType w:val="hybridMultilevel"/>
    <w:tmpl w:val="612E9106"/>
    <w:lvl w:ilvl="0" w:tplc="16FC299A">
      <w:start w:val="1"/>
      <w:numFmt w:val="decimal"/>
      <w:lvlText w:val="%1)"/>
      <w:lvlJc w:val="left"/>
      <w:pPr>
        <w:ind w:left="644" w:hanging="360"/>
      </w:pPr>
      <w:rPr>
        <w:rFonts w:ascii="Times New Roman" w:eastAsiaTheme="minorEastAsia" w:hAnsi="Times New Roman" w:cs="Times New Roman"/>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nsid w:val="1AFD1591"/>
    <w:multiLevelType w:val="multilevel"/>
    <w:tmpl w:val="25243748"/>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39848FF"/>
    <w:multiLevelType w:val="hybridMultilevel"/>
    <w:tmpl w:val="61F0CC94"/>
    <w:lvl w:ilvl="0" w:tplc="F8660992">
      <w:start w:val="2017"/>
      <w:numFmt w:val="decimal"/>
      <w:lvlText w:val="%1"/>
      <w:lvlJc w:val="left"/>
      <w:pPr>
        <w:ind w:left="1139" w:hanging="495"/>
      </w:pPr>
      <w:rPr>
        <w:rFonts w:hint="default"/>
      </w:r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5">
    <w:nsid w:val="26DB68F7"/>
    <w:multiLevelType w:val="hybridMultilevel"/>
    <w:tmpl w:val="952C50EC"/>
    <w:lvl w:ilvl="0" w:tplc="33B2A9C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6">
    <w:nsid w:val="2ADF7061"/>
    <w:multiLevelType w:val="hybridMultilevel"/>
    <w:tmpl w:val="0EDEDC70"/>
    <w:lvl w:ilvl="0" w:tplc="C5C239C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2B8A0DE9"/>
    <w:multiLevelType w:val="hybridMultilevel"/>
    <w:tmpl w:val="927626AC"/>
    <w:lvl w:ilvl="0" w:tplc="32426948">
      <w:start w:val="1"/>
      <w:numFmt w:val="decimal"/>
      <w:lvlText w:val="%1"/>
      <w:lvlJc w:val="left"/>
      <w:pPr>
        <w:ind w:left="644" w:hanging="360"/>
      </w:pPr>
      <w:rPr>
        <w:rFonts w:ascii="Arial" w:hAnsi="Arial" w:hint="default"/>
        <w:sz w:val="16"/>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31776507"/>
    <w:multiLevelType w:val="hybridMultilevel"/>
    <w:tmpl w:val="E062D2C2"/>
    <w:lvl w:ilvl="0" w:tplc="A5E00F64">
      <w:start w:val="1"/>
      <w:numFmt w:val="bullet"/>
      <w:lvlText w:val="-"/>
      <w:lvlJc w:val="left"/>
      <w:pPr>
        <w:ind w:left="644" w:hanging="360"/>
      </w:pPr>
      <w:rPr>
        <w:rFonts w:ascii="Times New Roman" w:eastAsiaTheme="minorEastAsia"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48CB656E"/>
    <w:multiLevelType w:val="hybridMultilevel"/>
    <w:tmpl w:val="E06C0B68"/>
    <w:lvl w:ilvl="0" w:tplc="C0AAA9F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1">
    <w:nsid w:val="4B3D3519"/>
    <w:multiLevelType w:val="hybridMultilevel"/>
    <w:tmpl w:val="D864F1F2"/>
    <w:lvl w:ilvl="0" w:tplc="F236962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2">
    <w:nsid w:val="5A5A7DBB"/>
    <w:multiLevelType w:val="hybridMultilevel"/>
    <w:tmpl w:val="42341C64"/>
    <w:lvl w:ilvl="0" w:tplc="38E4EE58">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638A6EC1"/>
    <w:multiLevelType w:val="hybridMultilevel"/>
    <w:tmpl w:val="4D60CF9C"/>
    <w:lvl w:ilvl="0" w:tplc="B0FAE420">
      <w:numFmt w:val="bullet"/>
      <w:lvlText w:val="-"/>
      <w:lvlJc w:val="left"/>
      <w:pPr>
        <w:ind w:left="420" w:hanging="420"/>
      </w:pPr>
      <w:rPr>
        <w:rFonts w:ascii="Calibri" w:eastAsia="Calibri" w:hAnsi="Calibri"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71686DC2"/>
    <w:multiLevelType w:val="hybridMultilevel"/>
    <w:tmpl w:val="D4D2FD4A"/>
    <w:lvl w:ilvl="0" w:tplc="F22404C2">
      <w:start w:val="2"/>
      <w:numFmt w:val="decimal"/>
      <w:lvlText w:val="%1"/>
      <w:lvlJc w:val="left"/>
      <w:pPr>
        <w:ind w:left="360" w:hanging="360"/>
      </w:pPr>
      <w:rPr>
        <w:rFonts w:ascii="Arial" w:hAnsi="Arial" w:hint="default"/>
        <w:sz w:val="16"/>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72045A26"/>
    <w:multiLevelType w:val="hybridMultilevel"/>
    <w:tmpl w:val="D864F1F2"/>
    <w:lvl w:ilvl="0" w:tplc="F236962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6">
    <w:nsid w:val="76D93D87"/>
    <w:multiLevelType w:val="hybridMultilevel"/>
    <w:tmpl w:val="6B4CAC34"/>
    <w:lvl w:ilvl="0" w:tplc="1E5C24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12"/>
  </w:num>
  <w:num w:numId="7">
    <w:abstractNumId w:val="8"/>
  </w:num>
  <w:num w:numId="8">
    <w:abstractNumId w:val="3"/>
  </w:num>
  <w:num w:numId="9">
    <w:abstractNumId w:val="13"/>
  </w:num>
  <w:num w:numId="10">
    <w:abstractNumId w:val="11"/>
  </w:num>
  <w:num w:numId="11">
    <w:abstractNumId w:val="15"/>
  </w:num>
  <w:num w:numId="12">
    <w:abstractNumId w:val="7"/>
  </w:num>
  <w:num w:numId="13">
    <w:abstractNumId w:val="10"/>
  </w:num>
  <w:num w:numId="14">
    <w:abstractNumId w:val="5"/>
  </w:num>
  <w:num w:numId="15">
    <w:abstractNumId w:val="14"/>
  </w:num>
  <w:num w:numId="16">
    <w:abstractNumId w:val="4"/>
  </w:num>
  <w:num w:numId="17">
    <w:abstractNumId w:val="6"/>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743D"/>
    <w:rsid w:val="000148C3"/>
    <w:rsid w:val="00033397"/>
    <w:rsid w:val="000376EE"/>
    <w:rsid w:val="00040095"/>
    <w:rsid w:val="00045520"/>
    <w:rsid w:val="00047C31"/>
    <w:rsid w:val="00055389"/>
    <w:rsid w:val="0008027C"/>
    <w:rsid w:val="00080512"/>
    <w:rsid w:val="0008109E"/>
    <w:rsid w:val="00081C01"/>
    <w:rsid w:val="00083240"/>
    <w:rsid w:val="00090468"/>
    <w:rsid w:val="000A00A7"/>
    <w:rsid w:val="000A1359"/>
    <w:rsid w:val="000A78CD"/>
    <w:rsid w:val="000B4161"/>
    <w:rsid w:val="000B7BCF"/>
    <w:rsid w:val="000C5145"/>
    <w:rsid w:val="000C522B"/>
    <w:rsid w:val="000D10F9"/>
    <w:rsid w:val="000D58AB"/>
    <w:rsid w:val="000E03DA"/>
    <w:rsid w:val="001024D6"/>
    <w:rsid w:val="00116B8E"/>
    <w:rsid w:val="001205ED"/>
    <w:rsid w:val="00120C0A"/>
    <w:rsid w:val="00145075"/>
    <w:rsid w:val="00153907"/>
    <w:rsid w:val="00165552"/>
    <w:rsid w:val="00173BED"/>
    <w:rsid w:val="001741A0"/>
    <w:rsid w:val="0018632E"/>
    <w:rsid w:val="001870D6"/>
    <w:rsid w:val="00187381"/>
    <w:rsid w:val="001873F3"/>
    <w:rsid w:val="00194CD0"/>
    <w:rsid w:val="001B49C9"/>
    <w:rsid w:val="001C6B9C"/>
    <w:rsid w:val="001D6C68"/>
    <w:rsid w:val="001D6CBF"/>
    <w:rsid w:val="001F168B"/>
    <w:rsid w:val="001F7831"/>
    <w:rsid w:val="00204045"/>
    <w:rsid w:val="00206CED"/>
    <w:rsid w:val="002122EC"/>
    <w:rsid w:val="002248D4"/>
    <w:rsid w:val="0022606D"/>
    <w:rsid w:val="0023670E"/>
    <w:rsid w:val="002465C4"/>
    <w:rsid w:val="00260DA3"/>
    <w:rsid w:val="00263E69"/>
    <w:rsid w:val="002747EC"/>
    <w:rsid w:val="00276396"/>
    <w:rsid w:val="00280C2B"/>
    <w:rsid w:val="002855BF"/>
    <w:rsid w:val="002937BE"/>
    <w:rsid w:val="002B29BD"/>
    <w:rsid w:val="002D017F"/>
    <w:rsid w:val="002F04A0"/>
    <w:rsid w:val="002F0D22"/>
    <w:rsid w:val="002F4F17"/>
    <w:rsid w:val="002F7673"/>
    <w:rsid w:val="0031283D"/>
    <w:rsid w:val="003169CE"/>
    <w:rsid w:val="003172DC"/>
    <w:rsid w:val="003216AA"/>
    <w:rsid w:val="003247BE"/>
    <w:rsid w:val="00326069"/>
    <w:rsid w:val="00326DE2"/>
    <w:rsid w:val="00330049"/>
    <w:rsid w:val="00331A6A"/>
    <w:rsid w:val="00344999"/>
    <w:rsid w:val="0035462D"/>
    <w:rsid w:val="00372B58"/>
    <w:rsid w:val="00394F16"/>
    <w:rsid w:val="003A6FBE"/>
    <w:rsid w:val="003B40AD"/>
    <w:rsid w:val="003C4E37"/>
    <w:rsid w:val="003D4034"/>
    <w:rsid w:val="003D70BE"/>
    <w:rsid w:val="003E16BE"/>
    <w:rsid w:val="00401855"/>
    <w:rsid w:val="00404105"/>
    <w:rsid w:val="0042085F"/>
    <w:rsid w:val="004248F3"/>
    <w:rsid w:val="0042770F"/>
    <w:rsid w:val="00464BD7"/>
    <w:rsid w:val="00465D82"/>
    <w:rsid w:val="00477455"/>
    <w:rsid w:val="004A45A9"/>
    <w:rsid w:val="004B11B2"/>
    <w:rsid w:val="004C1EC1"/>
    <w:rsid w:val="004C5448"/>
    <w:rsid w:val="004C692C"/>
    <w:rsid w:val="004D3578"/>
    <w:rsid w:val="004D380D"/>
    <w:rsid w:val="004E0A41"/>
    <w:rsid w:val="004E213A"/>
    <w:rsid w:val="004F33D5"/>
    <w:rsid w:val="00503171"/>
    <w:rsid w:val="00504335"/>
    <w:rsid w:val="00506C28"/>
    <w:rsid w:val="0051232D"/>
    <w:rsid w:val="00520BD2"/>
    <w:rsid w:val="00522B64"/>
    <w:rsid w:val="00534DA0"/>
    <w:rsid w:val="00535EC2"/>
    <w:rsid w:val="00543E6C"/>
    <w:rsid w:val="00546B8D"/>
    <w:rsid w:val="00561E55"/>
    <w:rsid w:val="00565087"/>
    <w:rsid w:val="0056573F"/>
    <w:rsid w:val="0057297C"/>
    <w:rsid w:val="005C060E"/>
    <w:rsid w:val="005C265F"/>
    <w:rsid w:val="005C44B6"/>
    <w:rsid w:val="005C46E5"/>
    <w:rsid w:val="005E7C90"/>
    <w:rsid w:val="005F2B6E"/>
    <w:rsid w:val="00604D96"/>
    <w:rsid w:val="00610417"/>
    <w:rsid w:val="00610A72"/>
    <w:rsid w:val="00611566"/>
    <w:rsid w:val="00630390"/>
    <w:rsid w:val="0063713C"/>
    <w:rsid w:val="00646D99"/>
    <w:rsid w:val="00656910"/>
    <w:rsid w:val="00674AFC"/>
    <w:rsid w:val="0068043D"/>
    <w:rsid w:val="00680697"/>
    <w:rsid w:val="006840C8"/>
    <w:rsid w:val="0069213C"/>
    <w:rsid w:val="006C350D"/>
    <w:rsid w:val="006C66D8"/>
    <w:rsid w:val="006D1E24"/>
    <w:rsid w:val="006D3F2E"/>
    <w:rsid w:val="006D5128"/>
    <w:rsid w:val="006E1417"/>
    <w:rsid w:val="006F6A2C"/>
    <w:rsid w:val="006F72EC"/>
    <w:rsid w:val="00710201"/>
    <w:rsid w:val="00727246"/>
    <w:rsid w:val="00734A5B"/>
    <w:rsid w:val="00744E76"/>
    <w:rsid w:val="00746C4F"/>
    <w:rsid w:val="007515CB"/>
    <w:rsid w:val="00754518"/>
    <w:rsid w:val="00757D40"/>
    <w:rsid w:val="0077491C"/>
    <w:rsid w:val="007749C8"/>
    <w:rsid w:val="0077588F"/>
    <w:rsid w:val="00781F0F"/>
    <w:rsid w:val="0078727C"/>
    <w:rsid w:val="0079049D"/>
    <w:rsid w:val="00796D31"/>
    <w:rsid w:val="007B18D8"/>
    <w:rsid w:val="007C095F"/>
    <w:rsid w:val="007D09C4"/>
    <w:rsid w:val="007E1361"/>
    <w:rsid w:val="008028A4"/>
    <w:rsid w:val="00813245"/>
    <w:rsid w:val="0083041D"/>
    <w:rsid w:val="00851246"/>
    <w:rsid w:val="00865C86"/>
    <w:rsid w:val="0086647F"/>
    <w:rsid w:val="008768CA"/>
    <w:rsid w:val="00877EF9"/>
    <w:rsid w:val="00880559"/>
    <w:rsid w:val="008961EC"/>
    <w:rsid w:val="008A6444"/>
    <w:rsid w:val="008B5306"/>
    <w:rsid w:val="008C1CE3"/>
    <w:rsid w:val="008C5EF8"/>
    <w:rsid w:val="008C6AE0"/>
    <w:rsid w:val="008E2471"/>
    <w:rsid w:val="008E2E12"/>
    <w:rsid w:val="008E448E"/>
    <w:rsid w:val="008F699D"/>
    <w:rsid w:val="0090271F"/>
    <w:rsid w:val="00902DB9"/>
    <w:rsid w:val="0090466A"/>
    <w:rsid w:val="00936071"/>
    <w:rsid w:val="00940212"/>
    <w:rsid w:val="00942EC2"/>
    <w:rsid w:val="00961B32"/>
    <w:rsid w:val="00965F8C"/>
    <w:rsid w:val="00970DB3"/>
    <w:rsid w:val="009736F5"/>
    <w:rsid w:val="00974BB0"/>
    <w:rsid w:val="00991B2E"/>
    <w:rsid w:val="00992961"/>
    <w:rsid w:val="009A0AF3"/>
    <w:rsid w:val="009A3A9C"/>
    <w:rsid w:val="009B07CD"/>
    <w:rsid w:val="009B303F"/>
    <w:rsid w:val="009C19E9"/>
    <w:rsid w:val="009E27F6"/>
    <w:rsid w:val="009E7D8B"/>
    <w:rsid w:val="009F0275"/>
    <w:rsid w:val="00A018D9"/>
    <w:rsid w:val="00A10F02"/>
    <w:rsid w:val="00A16026"/>
    <w:rsid w:val="00A204CA"/>
    <w:rsid w:val="00A373F7"/>
    <w:rsid w:val="00A40EC2"/>
    <w:rsid w:val="00A53724"/>
    <w:rsid w:val="00A62FB2"/>
    <w:rsid w:val="00A77CFC"/>
    <w:rsid w:val="00A82346"/>
    <w:rsid w:val="00A9671C"/>
    <w:rsid w:val="00AA0942"/>
    <w:rsid w:val="00AA10AA"/>
    <w:rsid w:val="00AA1553"/>
    <w:rsid w:val="00AB71C4"/>
    <w:rsid w:val="00B15449"/>
    <w:rsid w:val="00B1587B"/>
    <w:rsid w:val="00B179BA"/>
    <w:rsid w:val="00B47FD1"/>
    <w:rsid w:val="00B516BB"/>
    <w:rsid w:val="00B6462F"/>
    <w:rsid w:val="00B64A55"/>
    <w:rsid w:val="00B8074A"/>
    <w:rsid w:val="00BC56B6"/>
    <w:rsid w:val="00BE40DC"/>
    <w:rsid w:val="00BF0589"/>
    <w:rsid w:val="00C10F2E"/>
    <w:rsid w:val="00C12B51"/>
    <w:rsid w:val="00C17220"/>
    <w:rsid w:val="00C24650"/>
    <w:rsid w:val="00C33079"/>
    <w:rsid w:val="00C40DA6"/>
    <w:rsid w:val="00C62CC3"/>
    <w:rsid w:val="00C70C3E"/>
    <w:rsid w:val="00C718E8"/>
    <w:rsid w:val="00C74A2F"/>
    <w:rsid w:val="00C83A13"/>
    <w:rsid w:val="00C9068C"/>
    <w:rsid w:val="00C92967"/>
    <w:rsid w:val="00C9375D"/>
    <w:rsid w:val="00CA3D0C"/>
    <w:rsid w:val="00CA654B"/>
    <w:rsid w:val="00CB00E5"/>
    <w:rsid w:val="00CB5258"/>
    <w:rsid w:val="00CD4C7B"/>
    <w:rsid w:val="00CD6AF0"/>
    <w:rsid w:val="00CE00F3"/>
    <w:rsid w:val="00CE7BBB"/>
    <w:rsid w:val="00D01F20"/>
    <w:rsid w:val="00D03E38"/>
    <w:rsid w:val="00D11F38"/>
    <w:rsid w:val="00D178E3"/>
    <w:rsid w:val="00D21CCB"/>
    <w:rsid w:val="00D34888"/>
    <w:rsid w:val="00D555B8"/>
    <w:rsid w:val="00D738D6"/>
    <w:rsid w:val="00D80795"/>
    <w:rsid w:val="00D86DE0"/>
    <w:rsid w:val="00D87E00"/>
    <w:rsid w:val="00D87FD7"/>
    <w:rsid w:val="00D9134D"/>
    <w:rsid w:val="00D94401"/>
    <w:rsid w:val="00D95BFE"/>
    <w:rsid w:val="00D96D11"/>
    <w:rsid w:val="00DA717C"/>
    <w:rsid w:val="00DA7A03"/>
    <w:rsid w:val="00DB1818"/>
    <w:rsid w:val="00DB7BF1"/>
    <w:rsid w:val="00DC0B29"/>
    <w:rsid w:val="00DC309B"/>
    <w:rsid w:val="00DC4DA2"/>
    <w:rsid w:val="00E0339C"/>
    <w:rsid w:val="00E36006"/>
    <w:rsid w:val="00E600C0"/>
    <w:rsid w:val="00E62835"/>
    <w:rsid w:val="00E745A2"/>
    <w:rsid w:val="00E77645"/>
    <w:rsid w:val="00E83697"/>
    <w:rsid w:val="00E9564F"/>
    <w:rsid w:val="00E97871"/>
    <w:rsid w:val="00EB6C6F"/>
    <w:rsid w:val="00EC2568"/>
    <w:rsid w:val="00EC40C5"/>
    <w:rsid w:val="00EC4A25"/>
    <w:rsid w:val="00ED0BF5"/>
    <w:rsid w:val="00ED475C"/>
    <w:rsid w:val="00EF411E"/>
    <w:rsid w:val="00EF76F5"/>
    <w:rsid w:val="00F025A2"/>
    <w:rsid w:val="00F07388"/>
    <w:rsid w:val="00F2026E"/>
    <w:rsid w:val="00F2210A"/>
    <w:rsid w:val="00F2616A"/>
    <w:rsid w:val="00F26DCE"/>
    <w:rsid w:val="00F27CC0"/>
    <w:rsid w:val="00F30FD0"/>
    <w:rsid w:val="00F33FAF"/>
    <w:rsid w:val="00F37743"/>
    <w:rsid w:val="00F43355"/>
    <w:rsid w:val="00F53E62"/>
    <w:rsid w:val="00F54A3D"/>
    <w:rsid w:val="00F60D18"/>
    <w:rsid w:val="00F653B8"/>
    <w:rsid w:val="00F71B89"/>
    <w:rsid w:val="00F7353C"/>
    <w:rsid w:val="00F76F8F"/>
    <w:rsid w:val="00F845CE"/>
    <w:rsid w:val="00F9705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74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ヘッダー (文字)"/>
    <w:aliases w:val="header odd (文字)"/>
    <w:link w:val="a3"/>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ＭＳ 明朝" w:hAnsi="Arial"/>
      <w:lang w:eastAsia="en-US"/>
    </w:rPr>
  </w:style>
  <w:style w:type="character" w:styleId="a6">
    <w:name w:val="Hyperlink"/>
    <w:rsid w:val="0056573F"/>
    <w:rPr>
      <w:color w:val="0000FF"/>
      <w:u w:val="single"/>
    </w:rPr>
  </w:style>
  <w:style w:type="paragraph" w:styleId="a7">
    <w:name w:val="List Paragraph"/>
    <w:basedOn w:val="a"/>
    <w:uiPriority w:val="34"/>
    <w:qFormat/>
    <w:rsid w:val="000C5145"/>
    <w:pPr>
      <w:ind w:leftChars="400" w:left="840"/>
    </w:pPr>
  </w:style>
  <w:style w:type="paragraph" w:styleId="a8">
    <w:name w:val="Balloon Text"/>
    <w:basedOn w:val="a"/>
    <w:link w:val="a9"/>
    <w:rsid w:val="00746C4F"/>
    <w:pPr>
      <w:spacing w:after="0"/>
    </w:pPr>
    <w:rPr>
      <w:rFonts w:asciiTheme="majorHAnsi" w:eastAsiaTheme="majorEastAsia" w:hAnsiTheme="majorHAnsi" w:cstheme="majorBidi"/>
      <w:sz w:val="18"/>
      <w:szCs w:val="18"/>
    </w:rPr>
  </w:style>
  <w:style w:type="character" w:customStyle="1" w:styleId="a9">
    <w:name w:val="吹き出し (文字)"/>
    <w:basedOn w:val="a0"/>
    <w:link w:val="a8"/>
    <w:rsid w:val="00746C4F"/>
    <w:rPr>
      <w:rFonts w:asciiTheme="majorHAnsi" w:eastAsiaTheme="majorEastAsia" w:hAnsiTheme="majorHAnsi" w:cstheme="majorBidi"/>
      <w:sz w:val="18"/>
      <w:szCs w:val="18"/>
      <w:lang w:eastAsia="en-US"/>
    </w:rPr>
  </w:style>
  <w:style w:type="character" w:customStyle="1" w:styleId="CRCoverPageZchn">
    <w:name w:val="CR Cover Page Zchn"/>
    <w:link w:val="CRCoverPage"/>
    <w:rsid w:val="0042085F"/>
    <w:rPr>
      <w:rFonts w:ascii="Arial" w:eastAsia="ＭＳ 明朝" w:hAnsi="Arial"/>
      <w:lang w:eastAsia="en-US"/>
    </w:rPr>
  </w:style>
  <w:style w:type="paragraph" w:styleId="Web">
    <w:name w:val="Normal (Web)"/>
    <w:basedOn w:val="a"/>
    <w:uiPriority w:val="99"/>
    <w:unhideWhenUsed/>
    <w:rsid w:val="0042085F"/>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styleId="aa">
    <w:name w:val="Table Grid"/>
    <w:basedOn w:val="a1"/>
    <w:rsid w:val="004208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rsid w:val="0042085F"/>
    <w:rPr>
      <w:sz w:val="18"/>
      <w:szCs w:val="18"/>
    </w:rPr>
  </w:style>
  <w:style w:type="paragraph" w:styleId="ac">
    <w:name w:val="annotation text"/>
    <w:basedOn w:val="a"/>
    <w:link w:val="ad"/>
    <w:rsid w:val="0042085F"/>
  </w:style>
  <w:style w:type="character" w:customStyle="1" w:styleId="ad">
    <w:name w:val="コメント文字列 (文字)"/>
    <w:basedOn w:val="a0"/>
    <w:link w:val="ac"/>
    <w:rsid w:val="0042085F"/>
    <w:rPr>
      <w:lang w:eastAsia="en-US"/>
    </w:rPr>
  </w:style>
  <w:style w:type="paragraph" w:styleId="ae">
    <w:name w:val="annotation subject"/>
    <w:basedOn w:val="ac"/>
    <w:next w:val="ac"/>
    <w:link w:val="af"/>
    <w:rsid w:val="0042085F"/>
    <w:rPr>
      <w:b/>
      <w:bCs/>
    </w:rPr>
  </w:style>
  <w:style w:type="character" w:customStyle="1" w:styleId="af">
    <w:name w:val="コメント内容 (文字)"/>
    <w:basedOn w:val="ad"/>
    <w:link w:val="ae"/>
    <w:rsid w:val="0042085F"/>
    <w:rPr>
      <w:b/>
      <w:bCs/>
      <w:lang w:eastAsia="en-US"/>
    </w:rPr>
  </w:style>
  <w:style w:type="character" w:customStyle="1" w:styleId="TFChar">
    <w:name w:val="TF Char"/>
    <w:link w:val="TF"/>
    <w:rsid w:val="0008109E"/>
    <w:rPr>
      <w:rFonts w:ascii="Arial" w:hAnsi="Arial"/>
      <w:b/>
      <w:lang w:eastAsia="en-US"/>
    </w:rPr>
  </w:style>
  <w:style w:type="character" w:customStyle="1" w:styleId="THChar">
    <w:name w:val="TH Char"/>
    <w:link w:val="TH"/>
    <w:rsid w:val="0008109E"/>
    <w:rPr>
      <w:rFonts w:ascii="Arial" w:hAnsi="Arial"/>
      <w:b/>
      <w:lang w:eastAsia="en-US"/>
    </w:rPr>
  </w:style>
  <w:style w:type="character" w:customStyle="1" w:styleId="B1Zchn">
    <w:name w:val="B1 Zchn"/>
    <w:link w:val="B1"/>
    <w:locked/>
    <w:rsid w:val="0008109E"/>
    <w:rPr>
      <w:lang w:eastAsia="en-US"/>
    </w:rPr>
  </w:style>
  <w:style w:type="character" w:customStyle="1" w:styleId="NOChar">
    <w:name w:val="NO Char"/>
    <w:link w:val="NO"/>
    <w:rsid w:val="0008109E"/>
    <w:rPr>
      <w:lang w:eastAsia="en-US"/>
    </w:rPr>
  </w:style>
  <w:style w:type="character" w:customStyle="1" w:styleId="TFZchn">
    <w:name w:val="TF Zchn"/>
    <w:rsid w:val="002B29BD"/>
    <w:rPr>
      <w:rFonts w:ascii="Arial" w:hAnsi="Arial"/>
      <w:b/>
      <w:lang w:eastAsia="en-US"/>
    </w:rPr>
  </w:style>
  <w:style w:type="character" w:customStyle="1" w:styleId="B1Char">
    <w:name w:val="B1 Char"/>
    <w:rsid w:val="00C17220"/>
    <w:rPr>
      <w:lang w:val="en-GB" w:eastAsia="en-US"/>
    </w:rPr>
  </w:style>
  <w:style w:type="character" w:customStyle="1" w:styleId="30">
    <w:name w:val="見出し 3 (文字)"/>
    <w:link w:val="3"/>
    <w:rsid w:val="00C17220"/>
    <w:rPr>
      <w:rFonts w:ascii="Arial" w:hAnsi="Arial"/>
      <w:sz w:val="28"/>
      <w:lang w:eastAsia="en-US"/>
    </w:rPr>
  </w:style>
  <w:style w:type="character" w:customStyle="1" w:styleId="40">
    <w:name w:val="見出し 4 (文字)"/>
    <w:link w:val="4"/>
    <w:rsid w:val="00C17220"/>
    <w:rPr>
      <w:rFonts w:ascii="Arial" w:hAnsi="Arial"/>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ヘッダー (文字)"/>
    <w:aliases w:val="header odd (文字)"/>
    <w:link w:val="a3"/>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ＭＳ 明朝" w:hAnsi="Arial"/>
      <w:lang w:eastAsia="en-US"/>
    </w:rPr>
  </w:style>
  <w:style w:type="character" w:styleId="a6">
    <w:name w:val="Hyperlink"/>
    <w:rsid w:val="0056573F"/>
    <w:rPr>
      <w:color w:val="0000FF"/>
      <w:u w:val="single"/>
    </w:rPr>
  </w:style>
  <w:style w:type="paragraph" w:styleId="a7">
    <w:name w:val="List Paragraph"/>
    <w:basedOn w:val="a"/>
    <w:uiPriority w:val="34"/>
    <w:qFormat/>
    <w:rsid w:val="000C5145"/>
    <w:pPr>
      <w:ind w:leftChars="400" w:left="840"/>
    </w:pPr>
  </w:style>
  <w:style w:type="paragraph" w:styleId="a8">
    <w:name w:val="Balloon Text"/>
    <w:basedOn w:val="a"/>
    <w:link w:val="a9"/>
    <w:rsid w:val="00746C4F"/>
    <w:pPr>
      <w:spacing w:after="0"/>
    </w:pPr>
    <w:rPr>
      <w:rFonts w:asciiTheme="majorHAnsi" w:eastAsiaTheme="majorEastAsia" w:hAnsiTheme="majorHAnsi" w:cstheme="majorBidi"/>
      <w:sz w:val="18"/>
      <w:szCs w:val="18"/>
    </w:rPr>
  </w:style>
  <w:style w:type="character" w:customStyle="1" w:styleId="a9">
    <w:name w:val="吹き出し (文字)"/>
    <w:basedOn w:val="a0"/>
    <w:link w:val="a8"/>
    <w:rsid w:val="00746C4F"/>
    <w:rPr>
      <w:rFonts w:asciiTheme="majorHAnsi" w:eastAsiaTheme="majorEastAsia" w:hAnsiTheme="majorHAnsi" w:cstheme="majorBidi"/>
      <w:sz w:val="18"/>
      <w:szCs w:val="18"/>
      <w:lang w:eastAsia="en-US"/>
    </w:rPr>
  </w:style>
  <w:style w:type="character" w:customStyle="1" w:styleId="CRCoverPageZchn">
    <w:name w:val="CR Cover Page Zchn"/>
    <w:link w:val="CRCoverPage"/>
    <w:rsid w:val="0042085F"/>
    <w:rPr>
      <w:rFonts w:ascii="Arial" w:eastAsia="ＭＳ 明朝" w:hAnsi="Arial"/>
      <w:lang w:eastAsia="en-US"/>
    </w:rPr>
  </w:style>
  <w:style w:type="paragraph" w:styleId="Web">
    <w:name w:val="Normal (Web)"/>
    <w:basedOn w:val="a"/>
    <w:uiPriority w:val="99"/>
    <w:unhideWhenUsed/>
    <w:rsid w:val="0042085F"/>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styleId="aa">
    <w:name w:val="Table Grid"/>
    <w:basedOn w:val="a1"/>
    <w:rsid w:val="004208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rsid w:val="0042085F"/>
    <w:rPr>
      <w:sz w:val="18"/>
      <w:szCs w:val="18"/>
    </w:rPr>
  </w:style>
  <w:style w:type="paragraph" w:styleId="ac">
    <w:name w:val="annotation text"/>
    <w:basedOn w:val="a"/>
    <w:link w:val="ad"/>
    <w:rsid w:val="0042085F"/>
  </w:style>
  <w:style w:type="character" w:customStyle="1" w:styleId="ad">
    <w:name w:val="コメント文字列 (文字)"/>
    <w:basedOn w:val="a0"/>
    <w:link w:val="ac"/>
    <w:rsid w:val="0042085F"/>
    <w:rPr>
      <w:lang w:eastAsia="en-US"/>
    </w:rPr>
  </w:style>
  <w:style w:type="paragraph" w:styleId="ae">
    <w:name w:val="annotation subject"/>
    <w:basedOn w:val="ac"/>
    <w:next w:val="ac"/>
    <w:link w:val="af"/>
    <w:rsid w:val="0042085F"/>
    <w:rPr>
      <w:b/>
      <w:bCs/>
    </w:rPr>
  </w:style>
  <w:style w:type="character" w:customStyle="1" w:styleId="af">
    <w:name w:val="コメント内容 (文字)"/>
    <w:basedOn w:val="ad"/>
    <w:link w:val="ae"/>
    <w:rsid w:val="0042085F"/>
    <w:rPr>
      <w:b/>
      <w:bCs/>
      <w:lang w:eastAsia="en-US"/>
    </w:rPr>
  </w:style>
  <w:style w:type="character" w:customStyle="1" w:styleId="TFChar">
    <w:name w:val="TF Char"/>
    <w:link w:val="TF"/>
    <w:rsid w:val="0008109E"/>
    <w:rPr>
      <w:rFonts w:ascii="Arial" w:hAnsi="Arial"/>
      <w:b/>
      <w:lang w:eastAsia="en-US"/>
    </w:rPr>
  </w:style>
  <w:style w:type="character" w:customStyle="1" w:styleId="THChar">
    <w:name w:val="TH Char"/>
    <w:link w:val="TH"/>
    <w:rsid w:val="0008109E"/>
    <w:rPr>
      <w:rFonts w:ascii="Arial" w:hAnsi="Arial"/>
      <w:b/>
      <w:lang w:eastAsia="en-US"/>
    </w:rPr>
  </w:style>
  <w:style w:type="character" w:customStyle="1" w:styleId="B1Zchn">
    <w:name w:val="B1 Zchn"/>
    <w:link w:val="B1"/>
    <w:locked/>
    <w:rsid w:val="0008109E"/>
    <w:rPr>
      <w:lang w:eastAsia="en-US"/>
    </w:rPr>
  </w:style>
  <w:style w:type="character" w:customStyle="1" w:styleId="NOChar">
    <w:name w:val="NO Char"/>
    <w:link w:val="NO"/>
    <w:rsid w:val="0008109E"/>
    <w:rPr>
      <w:lang w:eastAsia="en-US"/>
    </w:rPr>
  </w:style>
  <w:style w:type="character" w:customStyle="1" w:styleId="TFZchn">
    <w:name w:val="TF Zchn"/>
    <w:rsid w:val="002B29BD"/>
    <w:rPr>
      <w:rFonts w:ascii="Arial" w:hAnsi="Arial"/>
      <w:b/>
      <w:lang w:eastAsia="en-US"/>
    </w:rPr>
  </w:style>
  <w:style w:type="character" w:customStyle="1" w:styleId="B1Char">
    <w:name w:val="B1 Char"/>
    <w:rsid w:val="00C17220"/>
    <w:rPr>
      <w:lang w:val="en-GB" w:eastAsia="en-US"/>
    </w:rPr>
  </w:style>
  <w:style w:type="character" w:customStyle="1" w:styleId="30">
    <w:name w:val="見出し 3 (文字)"/>
    <w:link w:val="3"/>
    <w:rsid w:val="00C17220"/>
    <w:rPr>
      <w:rFonts w:ascii="Arial" w:hAnsi="Arial"/>
      <w:sz w:val="28"/>
      <w:lang w:eastAsia="en-US"/>
    </w:rPr>
  </w:style>
  <w:style w:type="character" w:customStyle="1" w:styleId="40">
    <w:name w:val="見出し 4 (文字)"/>
    <w:link w:val="4"/>
    <w:rsid w:val="00C1722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900750">
      <w:bodyDiv w:val="1"/>
      <w:marLeft w:val="0"/>
      <w:marRight w:val="0"/>
      <w:marTop w:val="0"/>
      <w:marBottom w:val="0"/>
      <w:divBdr>
        <w:top w:val="none" w:sz="0" w:space="0" w:color="auto"/>
        <w:left w:val="none" w:sz="0" w:space="0" w:color="auto"/>
        <w:bottom w:val="none" w:sz="0" w:space="0" w:color="auto"/>
        <w:right w:val="none" w:sz="0" w:space="0" w:color="auto"/>
      </w:divBdr>
      <w:divsChild>
        <w:div w:id="849416260">
          <w:marLeft w:val="2520"/>
          <w:marRight w:val="0"/>
          <w:marTop w:val="67"/>
          <w:marBottom w:val="0"/>
          <w:divBdr>
            <w:top w:val="none" w:sz="0" w:space="0" w:color="auto"/>
            <w:left w:val="none" w:sz="0" w:space="0" w:color="auto"/>
            <w:bottom w:val="none" w:sz="0" w:space="0" w:color="auto"/>
            <w:right w:val="none" w:sz="0" w:space="0" w:color="auto"/>
          </w:divBdr>
        </w:div>
      </w:divsChild>
    </w:div>
    <w:div w:id="1461024719">
      <w:bodyDiv w:val="1"/>
      <w:marLeft w:val="0"/>
      <w:marRight w:val="0"/>
      <w:marTop w:val="0"/>
      <w:marBottom w:val="0"/>
      <w:divBdr>
        <w:top w:val="none" w:sz="0" w:space="0" w:color="auto"/>
        <w:left w:val="none" w:sz="0" w:space="0" w:color="auto"/>
        <w:bottom w:val="none" w:sz="0" w:space="0" w:color="auto"/>
        <w:right w:val="none" w:sz="0" w:space="0" w:color="auto"/>
      </w:divBdr>
    </w:div>
    <w:div w:id="1830710985">
      <w:bodyDiv w:val="1"/>
      <w:marLeft w:val="0"/>
      <w:marRight w:val="0"/>
      <w:marTop w:val="0"/>
      <w:marBottom w:val="0"/>
      <w:divBdr>
        <w:top w:val="none" w:sz="0" w:space="0" w:color="auto"/>
        <w:left w:val="none" w:sz="0" w:space="0" w:color="auto"/>
        <w:bottom w:val="none" w:sz="0" w:space="0" w:color="auto"/>
        <w:right w:val="none" w:sz="0" w:space="0" w:color="auto"/>
      </w:divBdr>
    </w:div>
    <w:div w:id="1882664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styles" Target="styles.xml"/><Relationship Id="rId29"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1534</Words>
  <Characters>8744</Characters>
  <Application>Microsoft Office Word</Application>
  <DocSecurity>0</DocSecurity>
  <Lines>72</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10258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2017-09-29T09:06:00Z</dcterms:created>
  <dcterms:modified xsi:type="dcterms:W3CDTF">2017-11-28T19:18:00Z</dcterms:modified>
</cp:coreProperties>
</file>